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2C88" w14:textId="17DFF20D" w:rsidR="00EC6C94" w:rsidRDefault="0070466C" w:rsidP="00A865C7">
      <w:pPr>
        <w:spacing w:after="0" w:line="240" w:lineRule="auto"/>
        <w:rPr>
          <w:sz w:val="24"/>
          <w:szCs w:val="24"/>
          <w:lang w:val="es-ES"/>
        </w:rPr>
      </w:pPr>
      <w:bookmarkStart w:id="0" w:name="_Hlk103337524"/>
      <w:bookmarkStart w:id="1" w:name="_Hlk103338489"/>
      <w:r>
        <w:rPr>
          <w:noProof/>
          <w:lang w:val="en-US"/>
        </w:rPr>
        <w:drawing>
          <wp:inline distT="0" distB="0" distL="0" distR="0" wp14:anchorId="70A20FC1" wp14:editId="14435DAC">
            <wp:extent cx="885825" cy="933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inline>
        </w:drawing>
      </w:r>
      <w:r>
        <w:rPr>
          <w:sz w:val="24"/>
          <w:szCs w:val="24"/>
          <w:lang w:val="es-ES"/>
        </w:rPr>
        <w:t xml:space="preserve">                                         </w:t>
      </w:r>
    </w:p>
    <w:p w14:paraId="42A5D6DE" w14:textId="77777777" w:rsidR="00A865C7" w:rsidRDefault="00A865C7" w:rsidP="00A865C7">
      <w:pPr>
        <w:spacing w:after="0" w:line="240" w:lineRule="auto"/>
        <w:rPr>
          <w:rFonts w:cstheme="minorHAnsi"/>
          <w:sz w:val="24"/>
          <w:szCs w:val="24"/>
          <w:lang w:val="es-ES"/>
        </w:rPr>
      </w:pPr>
    </w:p>
    <w:p w14:paraId="23050328" w14:textId="77777777" w:rsidR="00A865C7" w:rsidRPr="00FC68F5" w:rsidRDefault="00A865C7" w:rsidP="00A865C7">
      <w:pPr>
        <w:spacing w:after="0" w:line="240" w:lineRule="auto"/>
        <w:jc w:val="center"/>
        <w:rPr>
          <w:rFonts w:cstheme="minorHAnsi"/>
          <w:b/>
          <w:bCs/>
          <w:sz w:val="24"/>
          <w:szCs w:val="24"/>
          <w:u w:val="single"/>
          <w:lang w:val="es-ES"/>
        </w:rPr>
      </w:pPr>
      <w:r w:rsidRPr="00FC68F5">
        <w:rPr>
          <w:rFonts w:cstheme="minorHAnsi"/>
          <w:b/>
          <w:bCs/>
          <w:sz w:val="24"/>
          <w:szCs w:val="24"/>
          <w:u w:val="single"/>
          <w:lang w:val="es-ES"/>
        </w:rPr>
        <w:t xml:space="preserve">SOLICITUD DE SUMARIO ADMINISTRATIVO EN CONTRA DE LA ASESORA JURIDICA </w:t>
      </w:r>
    </w:p>
    <w:p w14:paraId="1C3B9806" w14:textId="0C7BB954" w:rsidR="00A865C7" w:rsidRPr="00FC68F5" w:rsidRDefault="00A865C7" w:rsidP="00A865C7">
      <w:pPr>
        <w:spacing w:after="0" w:line="240" w:lineRule="auto"/>
        <w:jc w:val="center"/>
        <w:rPr>
          <w:rFonts w:cstheme="minorHAnsi"/>
          <w:sz w:val="24"/>
          <w:szCs w:val="24"/>
          <w:u w:val="single"/>
          <w:lang w:val="es-ES"/>
        </w:rPr>
      </w:pPr>
      <w:r w:rsidRPr="00FC68F5">
        <w:rPr>
          <w:rFonts w:cstheme="minorHAnsi"/>
          <w:b/>
          <w:bCs/>
          <w:sz w:val="24"/>
          <w:szCs w:val="24"/>
          <w:u w:val="single"/>
          <w:lang w:val="es-ES"/>
        </w:rPr>
        <w:t>DE LA MUNICIPALIDAD DE VIÑA DEL MAR POR LA PÉRDIDA DE $50 MILLONES</w:t>
      </w:r>
    </w:p>
    <w:p w14:paraId="198166E5" w14:textId="77777777" w:rsidR="00144F44" w:rsidRPr="00870B80" w:rsidRDefault="00144F44" w:rsidP="00A56ADC">
      <w:pPr>
        <w:spacing w:after="0" w:line="240" w:lineRule="auto"/>
        <w:ind w:firstLine="708"/>
        <w:rPr>
          <w:rFonts w:cstheme="minorHAnsi"/>
          <w:sz w:val="24"/>
          <w:szCs w:val="24"/>
          <w:lang w:val="es-ES"/>
        </w:rPr>
      </w:pPr>
    </w:p>
    <w:p w14:paraId="204989D2" w14:textId="00F87D42" w:rsidR="00144F44" w:rsidRPr="00870B80" w:rsidRDefault="00870B80" w:rsidP="00A56ADC">
      <w:pPr>
        <w:spacing w:after="0" w:line="240" w:lineRule="auto"/>
        <w:ind w:firstLine="708"/>
        <w:rPr>
          <w:rFonts w:cstheme="minorHAnsi"/>
          <w:sz w:val="24"/>
          <w:szCs w:val="24"/>
          <w:lang w:val="es-ES"/>
        </w:rPr>
      </w:pPr>
      <w:r w:rsidRPr="00870B80">
        <w:rPr>
          <w:rFonts w:cstheme="minorHAnsi"/>
          <w:sz w:val="24"/>
          <w:szCs w:val="24"/>
          <w:lang w:val="es-ES"/>
        </w:rPr>
        <w:t xml:space="preserve">Por medio de la presente, solicito a usted incoar un sumario administrativo en contra de la directora jurídica del departamento jurídico del municipio por su eventual responsabilidad en la pérdida de </w:t>
      </w:r>
      <w:r w:rsidRPr="00870B80">
        <w:rPr>
          <w:b/>
          <w:bCs/>
          <w:sz w:val="24"/>
          <w:szCs w:val="24"/>
        </w:rPr>
        <w:t>$49.847.547</w:t>
      </w:r>
      <w:r w:rsidRPr="00870B80">
        <w:rPr>
          <w:sz w:val="24"/>
          <w:szCs w:val="24"/>
        </w:rPr>
        <w:t xml:space="preserve"> (cuarenta y nueve millones ochocientos cuarenta y siete mil quinientos cuarenta y siete pesos)</w:t>
      </w:r>
      <w:r>
        <w:rPr>
          <w:sz w:val="24"/>
          <w:szCs w:val="24"/>
        </w:rPr>
        <w:t>, en virtud a las siguientes consideraciones de hecho y de derecho:</w:t>
      </w:r>
    </w:p>
    <w:p w14:paraId="4BDB0E6C" w14:textId="77777777" w:rsidR="00283822" w:rsidRPr="00870B80" w:rsidRDefault="00283822" w:rsidP="00283822">
      <w:pPr>
        <w:spacing w:after="0" w:line="240" w:lineRule="auto"/>
        <w:ind w:firstLine="708"/>
        <w:contextualSpacing/>
        <w:rPr>
          <w:sz w:val="24"/>
          <w:szCs w:val="24"/>
        </w:rPr>
      </w:pPr>
    </w:p>
    <w:p w14:paraId="2DC51915" w14:textId="5DAAD73C" w:rsidR="00283822" w:rsidRPr="00870B80" w:rsidRDefault="00283822" w:rsidP="00870B80">
      <w:pPr>
        <w:numPr>
          <w:ilvl w:val="0"/>
          <w:numId w:val="14"/>
        </w:numPr>
        <w:tabs>
          <w:tab w:val="left" w:pos="993"/>
        </w:tabs>
        <w:spacing w:after="0" w:line="240" w:lineRule="auto"/>
        <w:ind w:left="0" w:firstLine="709"/>
        <w:contextualSpacing/>
        <w:rPr>
          <w:rFonts w:ascii="Calibri" w:hAnsi="Calibri"/>
          <w:w w:val="95"/>
          <w:sz w:val="24"/>
          <w:szCs w:val="24"/>
        </w:rPr>
      </w:pPr>
      <w:r w:rsidRPr="00870B80">
        <w:rPr>
          <w:sz w:val="24"/>
          <w:szCs w:val="24"/>
        </w:rPr>
        <w:t xml:space="preserve">Mediante el decreto alcaldicio N° 4.409 de fecha 6 de julio de 2021, se dictó la solicitud de </w:t>
      </w:r>
      <w:r w:rsidRPr="00870B80">
        <w:rPr>
          <w:rFonts w:ascii="Calibri" w:hAnsi="Calibri"/>
          <w:b/>
          <w:bCs/>
          <w:w w:val="95"/>
          <w:sz w:val="24"/>
          <w:szCs w:val="24"/>
        </w:rPr>
        <w:t>renuncia</w:t>
      </w:r>
      <w:r w:rsidRPr="00870B80">
        <w:rPr>
          <w:rFonts w:ascii="Calibri" w:hAnsi="Calibri"/>
          <w:b/>
          <w:bCs/>
          <w:spacing w:val="32"/>
          <w:w w:val="95"/>
          <w:sz w:val="24"/>
          <w:szCs w:val="24"/>
        </w:rPr>
        <w:t xml:space="preserve"> </w:t>
      </w:r>
      <w:r w:rsidRPr="00870B80">
        <w:rPr>
          <w:rFonts w:ascii="Calibri" w:hAnsi="Calibri"/>
          <w:b/>
          <w:bCs/>
          <w:w w:val="95"/>
          <w:sz w:val="24"/>
          <w:szCs w:val="24"/>
        </w:rPr>
        <w:t>no</w:t>
      </w:r>
      <w:r w:rsidRPr="00870B80">
        <w:rPr>
          <w:rFonts w:ascii="Calibri" w:hAnsi="Calibri"/>
          <w:b/>
          <w:bCs/>
          <w:spacing w:val="29"/>
          <w:w w:val="95"/>
          <w:sz w:val="24"/>
          <w:szCs w:val="24"/>
        </w:rPr>
        <w:t xml:space="preserve"> </w:t>
      </w:r>
      <w:r w:rsidRPr="00870B80">
        <w:rPr>
          <w:rFonts w:ascii="Calibri" w:hAnsi="Calibri"/>
          <w:b/>
          <w:bCs/>
          <w:w w:val="95"/>
          <w:sz w:val="24"/>
          <w:szCs w:val="24"/>
        </w:rPr>
        <w:t>voluntaria</w:t>
      </w:r>
      <w:r w:rsidRPr="00870B80">
        <w:rPr>
          <w:rFonts w:ascii="Calibri" w:hAnsi="Calibri"/>
          <w:w w:val="95"/>
          <w:sz w:val="24"/>
          <w:szCs w:val="24"/>
        </w:rPr>
        <w:t xml:space="preserve"> en contra de la anterior </w:t>
      </w:r>
      <w:r w:rsidRPr="00870B80">
        <w:rPr>
          <w:rFonts w:ascii="Calibri" w:hAnsi="Calibri"/>
          <w:i/>
          <w:iCs/>
          <w:w w:val="95"/>
          <w:sz w:val="24"/>
          <w:szCs w:val="24"/>
        </w:rPr>
        <w:t>d</w:t>
      </w:r>
      <w:r w:rsidRPr="00870B80">
        <w:rPr>
          <w:rFonts w:ascii="Calibri" w:hAnsi="Calibri"/>
          <w:i/>
          <w:iCs/>
          <w:sz w:val="24"/>
          <w:szCs w:val="24"/>
        </w:rPr>
        <w:t>irectora</w:t>
      </w:r>
      <w:r w:rsidRPr="00870B80">
        <w:rPr>
          <w:rFonts w:ascii="Calibri" w:hAnsi="Calibri"/>
          <w:i/>
          <w:iCs/>
          <w:spacing w:val="59"/>
          <w:sz w:val="24"/>
          <w:szCs w:val="24"/>
        </w:rPr>
        <w:t xml:space="preserve"> </w:t>
      </w:r>
      <w:r w:rsidRPr="00870B80">
        <w:rPr>
          <w:rFonts w:ascii="Calibri" w:hAnsi="Calibri"/>
          <w:i/>
          <w:iCs/>
          <w:sz w:val="24"/>
          <w:szCs w:val="24"/>
        </w:rPr>
        <w:t>de</w:t>
      </w:r>
      <w:r w:rsidRPr="00870B80">
        <w:rPr>
          <w:rFonts w:ascii="Calibri" w:hAnsi="Calibri"/>
          <w:i/>
          <w:iCs/>
          <w:spacing w:val="1"/>
          <w:sz w:val="24"/>
          <w:szCs w:val="24"/>
        </w:rPr>
        <w:t xml:space="preserve"> s</w:t>
      </w:r>
      <w:r w:rsidRPr="00870B80">
        <w:rPr>
          <w:rFonts w:ascii="Calibri" w:hAnsi="Calibri"/>
          <w:i/>
          <w:iCs/>
          <w:sz w:val="24"/>
          <w:szCs w:val="24"/>
        </w:rPr>
        <w:t>eguridad</w:t>
      </w:r>
      <w:r w:rsidRPr="00870B80">
        <w:rPr>
          <w:rFonts w:ascii="Calibri" w:hAnsi="Calibri"/>
          <w:i/>
          <w:iCs/>
          <w:spacing w:val="1"/>
          <w:sz w:val="24"/>
          <w:szCs w:val="24"/>
        </w:rPr>
        <w:t xml:space="preserve"> p</w:t>
      </w:r>
      <w:r w:rsidRPr="00870B80">
        <w:rPr>
          <w:rFonts w:ascii="Calibri" w:hAnsi="Calibri"/>
          <w:i/>
          <w:iCs/>
          <w:sz w:val="24"/>
          <w:szCs w:val="24"/>
        </w:rPr>
        <w:t>ública</w:t>
      </w:r>
      <w:r w:rsidRPr="00870B80">
        <w:rPr>
          <w:rFonts w:ascii="Calibri" w:hAnsi="Calibri"/>
          <w:sz w:val="24"/>
          <w:szCs w:val="24"/>
        </w:rPr>
        <w:t xml:space="preserve"> de la municipalidad</w:t>
      </w:r>
      <w:r w:rsidR="009461AC" w:rsidRPr="009461AC">
        <w:rPr>
          <w:rFonts w:ascii="Calibri" w:hAnsi="Calibri"/>
          <w:sz w:val="28"/>
          <w:szCs w:val="28"/>
        </w:rPr>
        <w:t xml:space="preserve"> </w:t>
      </w:r>
      <w:r w:rsidR="009461AC" w:rsidRPr="009461AC">
        <w:rPr>
          <w:rFonts w:ascii="Calibri" w:hAnsi="Calibri"/>
          <w:sz w:val="24"/>
          <w:szCs w:val="24"/>
        </w:rPr>
        <w:t>nombrada</w:t>
      </w:r>
      <w:r w:rsidR="009461AC" w:rsidRPr="009461AC">
        <w:rPr>
          <w:rFonts w:ascii="Calibri" w:hAnsi="Calibri"/>
          <w:spacing w:val="59"/>
          <w:sz w:val="24"/>
          <w:szCs w:val="24"/>
        </w:rPr>
        <w:t xml:space="preserve"> </w:t>
      </w:r>
      <w:r w:rsidR="009461AC" w:rsidRPr="009461AC">
        <w:rPr>
          <w:rFonts w:ascii="Calibri" w:hAnsi="Calibri"/>
          <w:sz w:val="24"/>
          <w:szCs w:val="24"/>
        </w:rPr>
        <w:t>por</w:t>
      </w:r>
      <w:r w:rsidR="009461AC" w:rsidRPr="009461AC">
        <w:rPr>
          <w:rFonts w:ascii="Calibri" w:hAnsi="Calibri"/>
          <w:spacing w:val="1"/>
          <w:sz w:val="24"/>
          <w:szCs w:val="24"/>
        </w:rPr>
        <w:t xml:space="preserve"> </w:t>
      </w:r>
      <w:r w:rsidR="009461AC" w:rsidRPr="009461AC">
        <w:rPr>
          <w:rFonts w:ascii="Calibri" w:hAnsi="Calibri"/>
          <w:color w:val="0C0C0C"/>
          <w:w w:val="95"/>
          <w:sz w:val="24"/>
          <w:szCs w:val="24"/>
        </w:rPr>
        <w:t xml:space="preserve">D.A. N° </w:t>
      </w:r>
      <w:r w:rsidR="009461AC" w:rsidRPr="009461AC">
        <w:rPr>
          <w:rFonts w:ascii="Calibri" w:hAnsi="Calibri"/>
          <w:color w:val="1F1F1F"/>
          <w:w w:val="95"/>
          <w:sz w:val="24"/>
          <w:szCs w:val="24"/>
        </w:rPr>
        <w:t>10</w:t>
      </w:r>
      <w:r w:rsidR="009461AC" w:rsidRPr="009461AC">
        <w:rPr>
          <w:rFonts w:ascii="Calibri" w:hAnsi="Calibri"/>
          <w:w w:val="95"/>
          <w:sz w:val="24"/>
          <w:szCs w:val="24"/>
        </w:rPr>
        <w:t>.477/2018</w:t>
      </w:r>
      <w:r w:rsidRPr="00870B80">
        <w:rPr>
          <w:rFonts w:ascii="Calibri" w:hAnsi="Calibri"/>
          <w:w w:val="95"/>
          <w:sz w:val="24"/>
          <w:szCs w:val="24"/>
        </w:rPr>
        <w:t>. La fundamentación de este decreto se basó principalmente en dos elementos:</w:t>
      </w:r>
    </w:p>
    <w:p w14:paraId="7D5FF7EB" w14:textId="77777777" w:rsidR="00283822" w:rsidRPr="00870B80" w:rsidRDefault="00283822" w:rsidP="009461AC">
      <w:pPr>
        <w:spacing w:after="0" w:line="240" w:lineRule="auto"/>
        <w:ind w:firstLine="993"/>
        <w:contextualSpacing/>
        <w:rPr>
          <w:sz w:val="24"/>
          <w:szCs w:val="24"/>
        </w:rPr>
      </w:pPr>
      <w:r w:rsidRPr="00870B80">
        <w:rPr>
          <w:rFonts w:ascii="Calibri" w:hAnsi="Calibri"/>
          <w:b/>
          <w:bCs/>
          <w:w w:val="95"/>
          <w:sz w:val="24"/>
          <w:szCs w:val="24"/>
        </w:rPr>
        <w:t>Primero</w:t>
      </w:r>
      <w:r w:rsidRPr="00870B80">
        <w:rPr>
          <w:rFonts w:ascii="Calibri" w:hAnsi="Calibri"/>
          <w:w w:val="95"/>
          <w:sz w:val="24"/>
          <w:szCs w:val="24"/>
        </w:rPr>
        <w:t xml:space="preserve">, </w:t>
      </w:r>
      <w:bookmarkStart w:id="2" w:name="_Hlk132720589"/>
      <w:r w:rsidRPr="00870B80">
        <w:rPr>
          <w:rFonts w:ascii="Calibri" w:hAnsi="Calibri"/>
          <w:w w:val="95"/>
          <w:sz w:val="24"/>
          <w:szCs w:val="24"/>
        </w:rPr>
        <w:t xml:space="preserve">que de acuerdo a la </w:t>
      </w:r>
      <w:r w:rsidRPr="00870B80">
        <w:rPr>
          <w:sz w:val="24"/>
          <w:szCs w:val="24"/>
        </w:rPr>
        <w:t>Ley</w:t>
      </w:r>
      <w:r w:rsidRPr="00870B80">
        <w:rPr>
          <w:spacing w:val="1"/>
          <w:sz w:val="24"/>
          <w:szCs w:val="24"/>
        </w:rPr>
        <w:t xml:space="preserve"> </w:t>
      </w:r>
      <w:r w:rsidRPr="00870B80">
        <w:rPr>
          <w:sz w:val="24"/>
          <w:szCs w:val="24"/>
        </w:rPr>
        <w:t>18.695,</w:t>
      </w:r>
      <w:r w:rsidRPr="00870B80">
        <w:rPr>
          <w:spacing w:val="1"/>
          <w:sz w:val="24"/>
          <w:szCs w:val="24"/>
        </w:rPr>
        <w:t xml:space="preserve"> </w:t>
      </w:r>
      <w:r w:rsidRPr="00870B80">
        <w:rPr>
          <w:sz w:val="24"/>
          <w:szCs w:val="24"/>
        </w:rPr>
        <w:t>Orgánica</w:t>
      </w:r>
      <w:r w:rsidRPr="00870B80">
        <w:rPr>
          <w:spacing w:val="1"/>
          <w:sz w:val="24"/>
          <w:szCs w:val="24"/>
        </w:rPr>
        <w:t xml:space="preserve"> </w:t>
      </w:r>
      <w:r w:rsidRPr="00870B80">
        <w:rPr>
          <w:w w:val="95"/>
          <w:sz w:val="24"/>
          <w:szCs w:val="24"/>
        </w:rPr>
        <w:t xml:space="preserve">Constitucional de Municipalidades, </w:t>
      </w:r>
      <w:r w:rsidRPr="00870B80">
        <w:rPr>
          <w:sz w:val="24"/>
          <w:szCs w:val="24"/>
        </w:rPr>
        <w:t xml:space="preserve">el alcalde está facultado para crear el cargo de </w:t>
      </w:r>
      <w:r w:rsidRPr="00870B80">
        <w:rPr>
          <w:i/>
          <w:iCs/>
          <w:sz w:val="24"/>
          <w:szCs w:val="24"/>
        </w:rPr>
        <w:t>director de seguridad pública</w:t>
      </w:r>
      <w:r w:rsidRPr="00870B80">
        <w:rPr>
          <w:sz w:val="24"/>
          <w:szCs w:val="24"/>
        </w:rPr>
        <w:t xml:space="preserve"> con acuerdo del concejo municipal, y designar</w:t>
      </w:r>
      <w:r w:rsidRPr="00870B80">
        <w:rPr>
          <w:spacing w:val="1"/>
          <w:sz w:val="24"/>
          <w:szCs w:val="24"/>
        </w:rPr>
        <w:t xml:space="preserve"> </w:t>
      </w:r>
      <w:r w:rsidRPr="00870B80">
        <w:rPr>
          <w:sz w:val="24"/>
          <w:szCs w:val="24"/>
        </w:rPr>
        <w:t xml:space="preserve">y remover a su director. </w:t>
      </w:r>
    </w:p>
    <w:p w14:paraId="65B6E289" w14:textId="61E0D6EA" w:rsidR="00283822" w:rsidRPr="00870B80" w:rsidRDefault="00283822" w:rsidP="009461AC">
      <w:pPr>
        <w:spacing w:after="0" w:line="240" w:lineRule="auto"/>
        <w:ind w:firstLine="993"/>
        <w:contextualSpacing/>
        <w:rPr>
          <w:rFonts w:eastAsia="Times New Roman" w:cs="Calibri"/>
          <w:sz w:val="24"/>
          <w:szCs w:val="24"/>
          <w:lang w:val="es-ES"/>
        </w:rPr>
      </w:pPr>
      <w:r w:rsidRPr="00870B80">
        <w:rPr>
          <w:rFonts w:cs="Calibri"/>
          <w:b/>
          <w:bCs/>
          <w:sz w:val="24"/>
          <w:szCs w:val="24"/>
        </w:rPr>
        <w:t>Segundo</w:t>
      </w:r>
      <w:r w:rsidRPr="00870B80">
        <w:rPr>
          <w:rFonts w:cs="Calibri"/>
          <w:sz w:val="24"/>
          <w:szCs w:val="24"/>
        </w:rPr>
        <w:t>, que, de acuerdo a dictámenes de la Contraloría General de la República, quien ocupa una plaza de</w:t>
      </w:r>
      <w:r w:rsidRPr="00870B80">
        <w:rPr>
          <w:rFonts w:cs="Calibri"/>
          <w:spacing w:val="1"/>
          <w:sz w:val="24"/>
          <w:szCs w:val="24"/>
        </w:rPr>
        <w:t xml:space="preserve"> </w:t>
      </w:r>
      <w:r w:rsidRPr="00870B80">
        <w:rPr>
          <w:rFonts w:cs="Calibri"/>
          <w:spacing w:val="-1"/>
          <w:sz w:val="24"/>
          <w:szCs w:val="24"/>
        </w:rPr>
        <w:t>exclusiva</w:t>
      </w:r>
      <w:r w:rsidRPr="00870B80">
        <w:rPr>
          <w:rFonts w:cs="Calibri"/>
          <w:spacing w:val="-5"/>
          <w:sz w:val="24"/>
          <w:szCs w:val="24"/>
        </w:rPr>
        <w:t xml:space="preserve"> </w:t>
      </w:r>
      <w:r w:rsidRPr="00870B80">
        <w:rPr>
          <w:rFonts w:cs="Calibri"/>
          <w:spacing w:val="-1"/>
          <w:sz w:val="24"/>
          <w:szCs w:val="24"/>
        </w:rPr>
        <w:t>confianza</w:t>
      </w:r>
      <w:r w:rsidRPr="00870B80">
        <w:rPr>
          <w:rFonts w:cs="Calibri"/>
          <w:spacing w:val="4"/>
          <w:sz w:val="24"/>
          <w:szCs w:val="24"/>
        </w:rPr>
        <w:t xml:space="preserve"> del alcalde </w:t>
      </w:r>
      <w:r w:rsidRPr="00870B80">
        <w:rPr>
          <w:rFonts w:cs="Calibri"/>
          <w:b/>
          <w:bCs/>
          <w:spacing w:val="-1"/>
          <w:sz w:val="24"/>
          <w:szCs w:val="24"/>
        </w:rPr>
        <w:t>no</w:t>
      </w:r>
      <w:r w:rsidRPr="00870B80">
        <w:rPr>
          <w:rFonts w:cs="Calibri"/>
          <w:b/>
          <w:bCs/>
          <w:spacing w:val="-12"/>
          <w:sz w:val="24"/>
          <w:szCs w:val="24"/>
        </w:rPr>
        <w:t xml:space="preserve"> </w:t>
      </w:r>
      <w:r w:rsidRPr="00870B80">
        <w:rPr>
          <w:rFonts w:cs="Calibri"/>
          <w:b/>
          <w:bCs/>
          <w:spacing w:val="-1"/>
          <w:sz w:val="24"/>
          <w:szCs w:val="24"/>
        </w:rPr>
        <w:t>goza</w:t>
      </w:r>
      <w:r w:rsidRPr="00870B80">
        <w:rPr>
          <w:rFonts w:cs="Calibri"/>
          <w:b/>
          <w:bCs/>
          <w:spacing w:val="-8"/>
          <w:sz w:val="24"/>
          <w:szCs w:val="24"/>
        </w:rPr>
        <w:t xml:space="preserve"> </w:t>
      </w:r>
      <w:r w:rsidRPr="00870B80">
        <w:rPr>
          <w:rFonts w:cs="Calibri"/>
          <w:b/>
          <w:bCs/>
          <w:color w:val="0E0E0E"/>
          <w:spacing w:val="-1"/>
          <w:sz w:val="24"/>
          <w:szCs w:val="24"/>
        </w:rPr>
        <w:t>de</w:t>
      </w:r>
      <w:r w:rsidRPr="00870B80">
        <w:rPr>
          <w:rFonts w:cs="Calibri"/>
          <w:b/>
          <w:bCs/>
          <w:color w:val="0E0E0E"/>
          <w:spacing w:val="-16"/>
          <w:sz w:val="24"/>
          <w:szCs w:val="24"/>
        </w:rPr>
        <w:t xml:space="preserve"> </w:t>
      </w:r>
      <w:r w:rsidRPr="00870B80">
        <w:rPr>
          <w:rFonts w:cs="Calibri"/>
          <w:b/>
          <w:bCs/>
          <w:spacing w:val="-1"/>
          <w:sz w:val="24"/>
          <w:szCs w:val="24"/>
        </w:rPr>
        <w:t>estabilidad</w:t>
      </w:r>
      <w:r w:rsidRPr="00870B80">
        <w:rPr>
          <w:rFonts w:cs="Calibri"/>
          <w:b/>
          <w:bCs/>
          <w:spacing w:val="-7"/>
          <w:sz w:val="24"/>
          <w:szCs w:val="24"/>
        </w:rPr>
        <w:t xml:space="preserve"> </w:t>
      </w:r>
      <w:r w:rsidRPr="00870B80">
        <w:rPr>
          <w:rFonts w:cs="Calibri"/>
          <w:b/>
          <w:bCs/>
          <w:spacing w:val="-1"/>
          <w:sz w:val="24"/>
          <w:szCs w:val="24"/>
        </w:rPr>
        <w:t>en</w:t>
      </w:r>
      <w:r w:rsidRPr="00870B80">
        <w:rPr>
          <w:rFonts w:cs="Calibri"/>
          <w:b/>
          <w:bCs/>
          <w:spacing w:val="-11"/>
          <w:sz w:val="24"/>
          <w:szCs w:val="24"/>
        </w:rPr>
        <w:t xml:space="preserve"> </w:t>
      </w:r>
      <w:r w:rsidRPr="00870B80">
        <w:rPr>
          <w:rFonts w:cs="Calibri"/>
          <w:b/>
          <w:bCs/>
          <w:spacing w:val="-1"/>
          <w:sz w:val="24"/>
          <w:szCs w:val="24"/>
        </w:rPr>
        <w:t>el</w:t>
      </w:r>
      <w:r w:rsidRPr="00870B80">
        <w:rPr>
          <w:rFonts w:cs="Calibri"/>
          <w:b/>
          <w:bCs/>
          <w:spacing w:val="-16"/>
          <w:sz w:val="24"/>
          <w:szCs w:val="24"/>
        </w:rPr>
        <w:t xml:space="preserve"> </w:t>
      </w:r>
      <w:r w:rsidRPr="00870B80">
        <w:rPr>
          <w:rFonts w:cs="Calibri"/>
          <w:b/>
          <w:bCs/>
          <w:spacing w:val="-1"/>
          <w:sz w:val="24"/>
          <w:szCs w:val="24"/>
        </w:rPr>
        <w:t>empleo</w:t>
      </w:r>
      <w:r w:rsidRPr="00870B80">
        <w:rPr>
          <w:rFonts w:cs="Calibri"/>
          <w:spacing w:val="-1"/>
          <w:sz w:val="24"/>
          <w:szCs w:val="24"/>
        </w:rPr>
        <w:t>,</w:t>
      </w:r>
      <w:r w:rsidRPr="00870B80">
        <w:rPr>
          <w:rFonts w:cs="Calibri"/>
          <w:spacing w:val="-4"/>
          <w:sz w:val="24"/>
          <w:szCs w:val="24"/>
        </w:rPr>
        <w:t xml:space="preserve"> </w:t>
      </w:r>
      <w:r w:rsidRPr="00870B80">
        <w:rPr>
          <w:rFonts w:eastAsia="Times New Roman" w:cs="Calibri"/>
          <w:spacing w:val="-1"/>
          <w:sz w:val="24"/>
          <w:szCs w:val="24"/>
          <w:lang w:val="es-ES"/>
        </w:rPr>
        <w:t>pues</w:t>
      </w:r>
      <w:r w:rsidRPr="00870B80">
        <w:rPr>
          <w:rFonts w:eastAsia="Times New Roman" w:cs="Calibri"/>
          <w:spacing w:val="-11"/>
          <w:sz w:val="24"/>
          <w:szCs w:val="24"/>
          <w:lang w:val="es-ES"/>
        </w:rPr>
        <w:t xml:space="preserve"> </w:t>
      </w:r>
      <w:r w:rsidRPr="00870B80">
        <w:rPr>
          <w:rFonts w:eastAsia="Times New Roman" w:cs="Calibri"/>
          <w:spacing w:val="-1"/>
          <w:sz w:val="24"/>
          <w:szCs w:val="24"/>
          <w:lang w:val="es-ES"/>
        </w:rPr>
        <w:t>está</w:t>
      </w:r>
      <w:r w:rsidRPr="00870B80">
        <w:rPr>
          <w:rFonts w:eastAsia="Times New Roman" w:cs="Calibri"/>
          <w:spacing w:val="-5"/>
          <w:sz w:val="24"/>
          <w:szCs w:val="24"/>
          <w:lang w:val="es-ES"/>
        </w:rPr>
        <w:t xml:space="preserve"> </w:t>
      </w:r>
      <w:r w:rsidRPr="00870B80">
        <w:rPr>
          <w:rFonts w:eastAsia="Times New Roman" w:cs="Calibri"/>
          <w:spacing w:val="-1"/>
          <w:sz w:val="24"/>
          <w:szCs w:val="24"/>
          <w:lang w:val="es-ES"/>
        </w:rPr>
        <w:t>sujeto</w:t>
      </w:r>
      <w:r w:rsidRPr="00870B80">
        <w:rPr>
          <w:rFonts w:eastAsia="Times New Roman" w:cs="Calibri"/>
          <w:spacing w:val="-7"/>
          <w:sz w:val="24"/>
          <w:szCs w:val="24"/>
          <w:lang w:val="es-ES"/>
        </w:rPr>
        <w:t xml:space="preserve"> </w:t>
      </w:r>
      <w:r w:rsidRPr="00870B80">
        <w:rPr>
          <w:rFonts w:eastAsia="Times New Roman" w:cs="Calibri"/>
          <w:spacing w:val="-1"/>
          <w:sz w:val="24"/>
          <w:szCs w:val="24"/>
          <w:lang w:val="es-ES"/>
        </w:rPr>
        <w:t>a</w:t>
      </w:r>
      <w:r w:rsidRPr="00870B80">
        <w:rPr>
          <w:rFonts w:eastAsia="Times New Roman" w:cs="Calibri"/>
          <w:spacing w:val="-10"/>
          <w:sz w:val="24"/>
          <w:szCs w:val="24"/>
          <w:lang w:val="es-ES"/>
        </w:rPr>
        <w:t xml:space="preserve"> </w:t>
      </w:r>
      <w:r w:rsidRPr="00870B80">
        <w:rPr>
          <w:rFonts w:eastAsia="Times New Roman" w:cs="Calibri"/>
          <w:color w:val="0A0A0A"/>
          <w:spacing w:val="-1"/>
          <w:sz w:val="24"/>
          <w:szCs w:val="24"/>
          <w:lang w:val="es-ES"/>
        </w:rPr>
        <w:t>la</w:t>
      </w:r>
      <w:r w:rsidRPr="00870B80">
        <w:rPr>
          <w:rFonts w:eastAsia="Times New Roman" w:cs="Calibri"/>
          <w:color w:val="0A0A0A"/>
          <w:spacing w:val="-10"/>
          <w:sz w:val="24"/>
          <w:szCs w:val="24"/>
          <w:lang w:val="es-ES"/>
        </w:rPr>
        <w:t xml:space="preserve"> </w:t>
      </w:r>
      <w:r w:rsidRPr="00870B80">
        <w:rPr>
          <w:rFonts w:eastAsia="Times New Roman" w:cs="Calibri"/>
          <w:spacing w:val="-1"/>
          <w:sz w:val="24"/>
          <w:szCs w:val="24"/>
          <w:lang w:val="es-ES"/>
        </w:rPr>
        <w:t>libre</w:t>
      </w:r>
      <w:r w:rsidRPr="00870B80">
        <w:rPr>
          <w:rFonts w:eastAsia="Times New Roman" w:cs="Calibri"/>
          <w:spacing w:val="-11"/>
          <w:sz w:val="24"/>
          <w:szCs w:val="24"/>
          <w:lang w:val="es-ES"/>
        </w:rPr>
        <w:t xml:space="preserve"> </w:t>
      </w:r>
      <w:r w:rsidRPr="00870B80">
        <w:rPr>
          <w:rFonts w:eastAsia="Times New Roman" w:cs="Calibri"/>
          <w:spacing w:val="-1"/>
          <w:sz w:val="24"/>
          <w:szCs w:val="24"/>
          <w:lang w:val="es-ES"/>
        </w:rPr>
        <w:t>designación</w:t>
      </w:r>
      <w:r w:rsidRPr="00870B80">
        <w:rPr>
          <w:rFonts w:eastAsia="Times New Roman" w:cs="Calibri"/>
          <w:spacing w:val="5"/>
          <w:sz w:val="24"/>
          <w:szCs w:val="24"/>
          <w:lang w:val="es-ES"/>
        </w:rPr>
        <w:t xml:space="preserve"> </w:t>
      </w:r>
      <w:r w:rsidRPr="00870B80">
        <w:rPr>
          <w:rFonts w:eastAsia="Times New Roman" w:cs="Calibri"/>
          <w:color w:val="181818"/>
          <w:sz w:val="24"/>
          <w:szCs w:val="24"/>
          <w:lang w:val="es-ES"/>
        </w:rPr>
        <w:t>y</w:t>
      </w:r>
      <w:r w:rsidRPr="00870B80">
        <w:rPr>
          <w:rFonts w:eastAsia="Times New Roman" w:cs="Calibri"/>
          <w:color w:val="181818"/>
          <w:spacing w:val="-12"/>
          <w:sz w:val="24"/>
          <w:szCs w:val="24"/>
          <w:lang w:val="es-ES"/>
        </w:rPr>
        <w:t xml:space="preserve"> </w:t>
      </w:r>
      <w:r w:rsidRPr="00870B80">
        <w:rPr>
          <w:rFonts w:eastAsia="Times New Roman" w:cs="Calibri"/>
          <w:sz w:val="24"/>
          <w:szCs w:val="24"/>
          <w:lang w:val="es-ES"/>
        </w:rPr>
        <w:t>remoción</w:t>
      </w:r>
      <w:r w:rsidRPr="00870B80">
        <w:rPr>
          <w:rFonts w:eastAsia="Times New Roman" w:cs="Calibri"/>
          <w:spacing w:val="-3"/>
          <w:sz w:val="24"/>
          <w:szCs w:val="24"/>
          <w:lang w:val="es-ES"/>
        </w:rPr>
        <w:t xml:space="preserve"> </w:t>
      </w:r>
      <w:r w:rsidRPr="00870B80">
        <w:rPr>
          <w:rFonts w:eastAsia="Times New Roman" w:cs="Calibri"/>
          <w:sz w:val="24"/>
          <w:szCs w:val="24"/>
          <w:lang w:val="es-ES"/>
        </w:rPr>
        <w:t>de</w:t>
      </w:r>
      <w:r w:rsidRPr="00870B80">
        <w:rPr>
          <w:rFonts w:eastAsia="Times New Roman" w:cs="Calibri"/>
          <w:spacing w:val="-67"/>
          <w:sz w:val="24"/>
          <w:szCs w:val="24"/>
          <w:lang w:val="es-ES"/>
        </w:rPr>
        <w:t xml:space="preserve">  </w:t>
      </w:r>
      <w:r w:rsidRPr="00870B80">
        <w:rPr>
          <w:rFonts w:eastAsia="Times New Roman" w:cs="Calibri"/>
          <w:color w:val="0A0A0A"/>
          <w:w w:val="95"/>
          <w:sz w:val="24"/>
          <w:szCs w:val="24"/>
          <w:lang w:val="es-ES"/>
        </w:rPr>
        <w:t>aquel,</w:t>
      </w:r>
      <w:r w:rsidRPr="00870B80">
        <w:rPr>
          <w:rFonts w:cs="Calibri"/>
          <w:sz w:val="24"/>
          <w:szCs w:val="24"/>
        </w:rPr>
        <w:t xml:space="preserve"> por</w:t>
      </w:r>
      <w:r w:rsidRPr="00870B80">
        <w:rPr>
          <w:rFonts w:cs="Calibri"/>
          <w:spacing w:val="-7"/>
          <w:sz w:val="24"/>
          <w:szCs w:val="24"/>
        </w:rPr>
        <w:t xml:space="preserve"> </w:t>
      </w:r>
      <w:r w:rsidRPr="00870B80">
        <w:rPr>
          <w:rFonts w:cs="Calibri"/>
          <w:sz w:val="24"/>
          <w:szCs w:val="24"/>
        </w:rPr>
        <w:t>lo</w:t>
      </w:r>
      <w:r w:rsidRPr="00870B80">
        <w:rPr>
          <w:rFonts w:cs="Calibri"/>
          <w:spacing w:val="-16"/>
          <w:sz w:val="24"/>
          <w:szCs w:val="24"/>
        </w:rPr>
        <w:t xml:space="preserve"> </w:t>
      </w:r>
      <w:r w:rsidRPr="00870B80">
        <w:rPr>
          <w:rFonts w:cs="Calibri"/>
          <w:sz w:val="24"/>
          <w:szCs w:val="24"/>
        </w:rPr>
        <w:t>que</w:t>
      </w:r>
      <w:r w:rsidRPr="00870B80">
        <w:rPr>
          <w:rFonts w:cs="Calibri"/>
          <w:spacing w:val="-7"/>
          <w:sz w:val="24"/>
          <w:szCs w:val="24"/>
        </w:rPr>
        <w:t xml:space="preserve"> </w:t>
      </w:r>
      <w:r w:rsidRPr="00870B80">
        <w:rPr>
          <w:rFonts w:cs="Calibri"/>
          <w:color w:val="0F0F0F"/>
          <w:sz w:val="24"/>
          <w:szCs w:val="24"/>
        </w:rPr>
        <w:t>la</w:t>
      </w:r>
      <w:r w:rsidRPr="00870B80">
        <w:rPr>
          <w:rFonts w:cs="Calibri"/>
          <w:color w:val="0F0F0F"/>
          <w:spacing w:val="-13"/>
          <w:sz w:val="24"/>
          <w:szCs w:val="24"/>
        </w:rPr>
        <w:t xml:space="preserve"> </w:t>
      </w:r>
      <w:r w:rsidRPr="00870B80">
        <w:rPr>
          <w:rFonts w:cs="Calibri"/>
          <w:sz w:val="24"/>
          <w:szCs w:val="24"/>
        </w:rPr>
        <w:t>pérdida</w:t>
      </w:r>
      <w:r w:rsidRPr="00870B80">
        <w:rPr>
          <w:rFonts w:cs="Calibri"/>
          <w:spacing w:val="-8"/>
          <w:sz w:val="24"/>
          <w:szCs w:val="24"/>
        </w:rPr>
        <w:t xml:space="preserve"> </w:t>
      </w:r>
      <w:r w:rsidRPr="00870B80">
        <w:rPr>
          <w:rFonts w:cs="Calibri"/>
          <w:sz w:val="24"/>
          <w:szCs w:val="24"/>
        </w:rPr>
        <w:t>de</w:t>
      </w:r>
      <w:r w:rsidRPr="00870B80">
        <w:rPr>
          <w:rFonts w:cs="Calibri"/>
          <w:spacing w:val="-67"/>
          <w:sz w:val="24"/>
          <w:szCs w:val="24"/>
        </w:rPr>
        <w:t xml:space="preserve"> </w:t>
      </w:r>
      <w:r w:rsidR="009461AC">
        <w:rPr>
          <w:rFonts w:cs="Calibri"/>
          <w:spacing w:val="-67"/>
          <w:sz w:val="24"/>
          <w:szCs w:val="24"/>
        </w:rPr>
        <w:t xml:space="preserve">    </w:t>
      </w:r>
      <w:r w:rsidR="009461AC">
        <w:rPr>
          <w:rFonts w:cs="Calibri"/>
          <w:color w:val="0F0F0F"/>
          <w:sz w:val="24"/>
          <w:szCs w:val="24"/>
        </w:rPr>
        <w:t xml:space="preserve"> dicha</w:t>
      </w:r>
      <w:r w:rsidRPr="00870B80">
        <w:rPr>
          <w:rFonts w:cs="Calibri"/>
          <w:color w:val="0F0F0F"/>
          <w:sz w:val="24"/>
          <w:szCs w:val="24"/>
        </w:rPr>
        <w:t xml:space="preserve"> confianza, </w:t>
      </w:r>
      <w:r w:rsidRPr="00870B80">
        <w:rPr>
          <w:rFonts w:cs="Calibri"/>
          <w:color w:val="0E0E0E"/>
          <w:sz w:val="24"/>
          <w:szCs w:val="24"/>
        </w:rPr>
        <w:t>implica</w:t>
      </w:r>
      <w:r w:rsidRPr="00870B80">
        <w:rPr>
          <w:rFonts w:cs="Calibri"/>
          <w:color w:val="0E0E0E"/>
          <w:spacing w:val="1"/>
          <w:sz w:val="24"/>
          <w:szCs w:val="24"/>
        </w:rPr>
        <w:t xml:space="preserve"> </w:t>
      </w:r>
      <w:r w:rsidRPr="00870B80">
        <w:rPr>
          <w:rFonts w:cs="Calibri"/>
          <w:sz w:val="24"/>
          <w:szCs w:val="24"/>
        </w:rPr>
        <w:t>que</w:t>
      </w:r>
      <w:r w:rsidRPr="00870B80">
        <w:rPr>
          <w:rFonts w:cs="Calibri"/>
          <w:spacing w:val="-10"/>
          <w:sz w:val="24"/>
          <w:szCs w:val="24"/>
        </w:rPr>
        <w:t xml:space="preserve"> </w:t>
      </w:r>
      <w:r w:rsidRPr="00870B80">
        <w:rPr>
          <w:rFonts w:cs="Calibri"/>
          <w:color w:val="161616"/>
          <w:sz w:val="24"/>
          <w:szCs w:val="24"/>
        </w:rPr>
        <w:t>el</w:t>
      </w:r>
      <w:r w:rsidRPr="00870B80">
        <w:rPr>
          <w:rFonts w:cs="Calibri"/>
          <w:color w:val="161616"/>
          <w:spacing w:val="-14"/>
          <w:sz w:val="24"/>
          <w:szCs w:val="24"/>
        </w:rPr>
        <w:t xml:space="preserve"> </w:t>
      </w:r>
      <w:r w:rsidRPr="00870B80">
        <w:rPr>
          <w:rFonts w:cs="Calibri"/>
          <w:sz w:val="24"/>
          <w:szCs w:val="24"/>
        </w:rPr>
        <w:t>servidor</w:t>
      </w:r>
      <w:r w:rsidRPr="00870B80">
        <w:rPr>
          <w:rFonts w:cs="Calibri"/>
          <w:spacing w:val="-6"/>
          <w:sz w:val="24"/>
          <w:szCs w:val="24"/>
        </w:rPr>
        <w:t xml:space="preserve"> </w:t>
      </w:r>
      <w:r w:rsidRPr="00870B80">
        <w:rPr>
          <w:rFonts w:cs="Calibri"/>
          <w:color w:val="0C0C0C"/>
          <w:sz w:val="24"/>
          <w:szCs w:val="24"/>
        </w:rPr>
        <w:t>debe</w:t>
      </w:r>
      <w:r w:rsidRPr="00870B80">
        <w:rPr>
          <w:rFonts w:cs="Calibri"/>
          <w:color w:val="0C0C0C"/>
          <w:spacing w:val="-8"/>
          <w:sz w:val="24"/>
          <w:szCs w:val="24"/>
        </w:rPr>
        <w:t xml:space="preserve"> </w:t>
      </w:r>
      <w:r w:rsidRPr="00870B80">
        <w:rPr>
          <w:rFonts w:cs="Calibri"/>
          <w:sz w:val="24"/>
          <w:szCs w:val="24"/>
        </w:rPr>
        <w:t>abandonar</w:t>
      </w:r>
      <w:r w:rsidRPr="00870B80">
        <w:rPr>
          <w:rFonts w:cs="Calibri"/>
          <w:spacing w:val="3"/>
          <w:sz w:val="24"/>
          <w:szCs w:val="24"/>
        </w:rPr>
        <w:t xml:space="preserve"> </w:t>
      </w:r>
      <w:r w:rsidRPr="00870B80">
        <w:rPr>
          <w:rFonts w:cs="Calibri"/>
          <w:color w:val="131313"/>
          <w:sz w:val="24"/>
          <w:szCs w:val="24"/>
        </w:rPr>
        <w:t>su</w:t>
      </w:r>
      <w:r w:rsidRPr="00870B80">
        <w:rPr>
          <w:rFonts w:cs="Calibri"/>
          <w:color w:val="131313"/>
          <w:spacing w:val="-12"/>
          <w:sz w:val="24"/>
          <w:szCs w:val="24"/>
        </w:rPr>
        <w:t xml:space="preserve"> </w:t>
      </w:r>
      <w:r w:rsidRPr="00870B80">
        <w:rPr>
          <w:rFonts w:cs="Calibri"/>
          <w:sz w:val="24"/>
          <w:szCs w:val="24"/>
        </w:rPr>
        <w:t>cargo,</w:t>
      </w:r>
      <w:r w:rsidRPr="00870B80">
        <w:rPr>
          <w:rFonts w:cs="Calibri"/>
          <w:spacing w:val="-2"/>
          <w:sz w:val="24"/>
          <w:szCs w:val="24"/>
        </w:rPr>
        <w:t xml:space="preserve"> </w:t>
      </w:r>
      <w:r w:rsidRPr="00870B80">
        <w:rPr>
          <w:rFonts w:cs="Calibri"/>
          <w:color w:val="0F0F0F"/>
          <w:sz w:val="24"/>
          <w:szCs w:val="24"/>
        </w:rPr>
        <w:t>lo</w:t>
      </w:r>
      <w:r w:rsidRPr="00870B80">
        <w:rPr>
          <w:rFonts w:cs="Calibri"/>
          <w:color w:val="0F0F0F"/>
          <w:spacing w:val="-16"/>
          <w:sz w:val="24"/>
          <w:szCs w:val="24"/>
        </w:rPr>
        <w:t xml:space="preserve"> </w:t>
      </w:r>
      <w:r w:rsidRPr="00870B80">
        <w:rPr>
          <w:rFonts w:cs="Calibri"/>
          <w:sz w:val="24"/>
          <w:szCs w:val="24"/>
        </w:rPr>
        <w:t>que</w:t>
      </w:r>
      <w:r w:rsidRPr="00870B80">
        <w:rPr>
          <w:rFonts w:cs="Calibri"/>
          <w:spacing w:val="-13"/>
          <w:sz w:val="24"/>
          <w:szCs w:val="24"/>
        </w:rPr>
        <w:t xml:space="preserve"> </w:t>
      </w:r>
      <w:r w:rsidRPr="00870B80">
        <w:rPr>
          <w:rFonts w:cs="Calibri"/>
          <w:color w:val="131313"/>
          <w:sz w:val="24"/>
          <w:szCs w:val="24"/>
        </w:rPr>
        <w:t>se</w:t>
      </w:r>
      <w:r w:rsidRPr="00870B80">
        <w:rPr>
          <w:rFonts w:cs="Calibri"/>
          <w:color w:val="131313"/>
          <w:spacing w:val="-13"/>
          <w:sz w:val="24"/>
          <w:szCs w:val="24"/>
        </w:rPr>
        <w:t xml:space="preserve"> </w:t>
      </w:r>
      <w:r w:rsidRPr="00870B80">
        <w:rPr>
          <w:rFonts w:cs="Calibri"/>
          <w:sz w:val="24"/>
          <w:szCs w:val="24"/>
        </w:rPr>
        <w:t>debe</w:t>
      </w:r>
      <w:r w:rsidRPr="00870B80">
        <w:rPr>
          <w:rFonts w:cs="Calibri"/>
          <w:spacing w:val="-10"/>
          <w:sz w:val="24"/>
          <w:szCs w:val="24"/>
        </w:rPr>
        <w:t xml:space="preserve"> </w:t>
      </w:r>
      <w:r w:rsidRPr="00870B80">
        <w:rPr>
          <w:rFonts w:cs="Calibri"/>
          <w:sz w:val="24"/>
          <w:szCs w:val="24"/>
        </w:rPr>
        <w:t>hacer</w:t>
      </w:r>
      <w:r w:rsidRPr="00870B80">
        <w:rPr>
          <w:rFonts w:cs="Calibri"/>
          <w:spacing w:val="-68"/>
          <w:sz w:val="24"/>
          <w:szCs w:val="24"/>
        </w:rPr>
        <w:t xml:space="preserve"> </w:t>
      </w:r>
      <w:r w:rsidRPr="00870B80">
        <w:rPr>
          <w:rFonts w:cs="Calibri"/>
          <w:sz w:val="24"/>
          <w:szCs w:val="24"/>
        </w:rPr>
        <w:t xml:space="preserve">efectivo con </w:t>
      </w:r>
      <w:r w:rsidRPr="00870B80">
        <w:rPr>
          <w:rFonts w:cs="Calibri"/>
          <w:color w:val="1C1C1C"/>
          <w:sz w:val="24"/>
          <w:szCs w:val="24"/>
        </w:rPr>
        <w:t xml:space="preserve">la </w:t>
      </w:r>
      <w:r w:rsidRPr="00870B80">
        <w:rPr>
          <w:rFonts w:cs="Calibri"/>
          <w:sz w:val="24"/>
          <w:szCs w:val="24"/>
        </w:rPr>
        <w:t>petición de renuncia, dimisión que debe ser presentada ante la</w:t>
      </w:r>
      <w:r w:rsidRPr="00870B80">
        <w:rPr>
          <w:rFonts w:cs="Calibri"/>
          <w:spacing w:val="1"/>
          <w:sz w:val="24"/>
          <w:szCs w:val="24"/>
        </w:rPr>
        <w:t xml:space="preserve"> </w:t>
      </w:r>
      <w:r w:rsidRPr="00870B80">
        <w:rPr>
          <w:rFonts w:cs="Calibri"/>
          <w:sz w:val="24"/>
          <w:szCs w:val="24"/>
        </w:rPr>
        <w:t>autoridad dentro del plazo que ésta indique</w:t>
      </w:r>
      <w:r w:rsidRPr="00870B80">
        <w:rPr>
          <w:rFonts w:eastAsia="Times New Roman" w:cs="Calibri"/>
          <w:w w:val="95"/>
          <w:sz w:val="24"/>
          <w:szCs w:val="24"/>
          <w:lang w:val="es-ES"/>
        </w:rPr>
        <w:t>, pues en el caso contrario,</w:t>
      </w:r>
      <w:r w:rsidRPr="00870B80">
        <w:rPr>
          <w:rFonts w:eastAsia="Times New Roman" w:cs="Calibri"/>
          <w:spacing w:val="62"/>
          <w:sz w:val="24"/>
          <w:szCs w:val="24"/>
          <w:lang w:val="es-ES"/>
        </w:rPr>
        <w:t xml:space="preserve"> </w:t>
      </w:r>
      <w:r w:rsidRPr="00870B80">
        <w:rPr>
          <w:rFonts w:eastAsia="Times New Roman" w:cs="Calibri"/>
          <w:w w:val="95"/>
          <w:sz w:val="24"/>
          <w:szCs w:val="24"/>
          <w:lang w:val="es-ES"/>
        </w:rPr>
        <w:t>procede declarar su vacancia</w:t>
      </w:r>
      <w:r w:rsidRPr="00870B80">
        <w:rPr>
          <w:rFonts w:eastAsia="Times New Roman" w:cs="Calibri"/>
          <w:spacing w:val="1"/>
          <w:w w:val="95"/>
          <w:sz w:val="24"/>
          <w:szCs w:val="24"/>
          <w:lang w:val="es-ES"/>
        </w:rPr>
        <w:t xml:space="preserve"> </w:t>
      </w:r>
      <w:r w:rsidRPr="00870B80">
        <w:rPr>
          <w:rFonts w:eastAsia="Times New Roman" w:cs="Calibri"/>
          <w:color w:val="232323"/>
          <w:sz w:val="24"/>
          <w:szCs w:val="24"/>
          <w:lang w:val="es-ES"/>
        </w:rPr>
        <w:t>a</w:t>
      </w:r>
      <w:r w:rsidRPr="00870B80">
        <w:rPr>
          <w:rFonts w:eastAsia="Times New Roman" w:cs="Calibri"/>
          <w:color w:val="232323"/>
          <w:spacing w:val="-15"/>
          <w:sz w:val="24"/>
          <w:szCs w:val="24"/>
          <w:lang w:val="es-ES"/>
        </w:rPr>
        <w:t xml:space="preserve"> </w:t>
      </w:r>
      <w:r w:rsidRPr="00870B80">
        <w:rPr>
          <w:rFonts w:eastAsia="Times New Roman" w:cs="Calibri"/>
          <w:sz w:val="24"/>
          <w:szCs w:val="24"/>
          <w:lang w:val="es-ES"/>
        </w:rPr>
        <w:t>través</w:t>
      </w:r>
      <w:r w:rsidRPr="00870B80">
        <w:rPr>
          <w:rFonts w:eastAsia="Times New Roman" w:cs="Calibri"/>
          <w:spacing w:val="-9"/>
          <w:sz w:val="24"/>
          <w:szCs w:val="24"/>
          <w:lang w:val="es-ES"/>
        </w:rPr>
        <w:t xml:space="preserve"> </w:t>
      </w:r>
      <w:r w:rsidRPr="00870B80">
        <w:rPr>
          <w:rFonts w:eastAsia="Times New Roman" w:cs="Calibri"/>
          <w:sz w:val="24"/>
          <w:szCs w:val="24"/>
          <w:lang w:val="es-ES"/>
        </w:rPr>
        <w:t>del</w:t>
      </w:r>
      <w:r w:rsidRPr="00870B80">
        <w:rPr>
          <w:rFonts w:eastAsia="Times New Roman" w:cs="Calibri"/>
          <w:spacing w:val="-13"/>
          <w:sz w:val="24"/>
          <w:szCs w:val="24"/>
          <w:lang w:val="es-ES"/>
        </w:rPr>
        <w:t xml:space="preserve"> </w:t>
      </w:r>
      <w:r w:rsidRPr="00870B80">
        <w:rPr>
          <w:rFonts w:eastAsia="Times New Roman" w:cs="Calibri"/>
          <w:sz w:val="24"/>
          <w:szCs w:val="24"/>
          <w:lang w:val="es-ES"/>
        </w:rPr>
        <w:t>pertinente</w:t>
      </w:r>
      <w:r w:rsidRPr="00870B80">
        <w:rPr>
          <w:rFonts w:eastAsia="Times New Roman" w:cs="Calibri"/>
          <w:spacing w:val="-6"/>
          <w:sz w:val="24"/>
          <w:szCs w:val="24"/>
          <w:lang w:val="es-ES"/>
        </w:rPr>
        <w:t xml:space="preserve"> </w:t>
      </w:r>
      <w:r w:rsidRPr="00870B80">
        <w:rPr>
          <w:rFonts w:eastAsia="Times New Roman" w:cs="Calibri"/>
          <w:sz w:val="24"/>
          <w:szCs w:val="24"/>
          <w:lang w:val="es-ES"/>
        </w:rPr>
        <w:t>decreto,</w:t>
      </w:r>
      <w:r w:rsidRPr="00870B80">
        <w:rPr>
          <w:rFonts w:eastAsia="Times New Roman" w:cs="Calibri"/>
          <w:spacing w:val="1"/>
          <w:sz w:val="24"/>
          <w:szCs w:val="24"/>
          <w:lang w:val="es-ES"/>
        </w:rPr>
        <w:t xml:space="preserve"> </w:t>
      </w:r>
      <w:r w:rsidRPr="00870B80">
        <w:rPr>
          <w:rFonts w:eastAsia="Times New Roman" w:cs="Calibri"/>
          <w:sz w:val="24"/>
          <w:szCs w:val="24"/>
          <w:lang w:val="es-ES"/>
        </w:rPr>
        <w:t>el</w:t>
      </w:r>
      <w:r w:rsidRPr="00870B80">
        <w:rPr>
          <w:rFonts w:eastAsia="Times New Roman" w:cs="Calibri"/>
          <w:spacing w:val="-14"/>
          <w:sz w:val="24"/>
          <w:szCs w:val="24"/>
          <w:lang w:val="es-ES"/>
        </w:rPr>
        <w:t xml:space="preserve"> </w:t>
      </w:r>
      <w:r w:rsidRPr="00870B80">
        <w:rPr>
          <w:rFonts w:eastAsia="Times New Roman" w:cs="Calibri"/>
          <w:sz w:val="24"/>
          <w:szCs w:val="24"/>
          <w:lang w:val="es-ES"/>
        </w:rPr>
        <w:t>que</w:t>
      </w:r>
      <w:r w:rsidRPr="00870B80">
        <w:rPr>
          <w:rFonts w:eastAsia="Times New Roman" w:cs="Calibri"/>
          <w:spacing w:val="-15"/>
          <w:sz w:val="24"/>
          <w:szCs w:val="24"/>
          <w:lang w:val="es-ES"/>
        </w:rPr>
        <w:t xml:space="preserve"> </w:t>
      </w:r>
      <w:r w:rsidRPr="00870B80">
        <w:rPr>
          <w:rFonts w:eastAsia="Times New Roman" w:cs="Calibri"/>
          <w:sz w:val="24"/>
          <w:szCs w:val="24"/>
          <w:lang w:val="es-ES"/>
        </w:rPr>
        <w:t>debe</w:t>
      </w:r>
      <w:r w:rsidRPr="00870B80">
        <w:rPr>
          <w:rFonts w:eastAsia="Times New Roman" w:cs="Calibri"/>
          <w:spacing w:val="-9"/>
          <w:sz w:val="24"/>
          <w:szCs w:val="24"/>
          <w:lang w:val="es-ES"/>
        </w:rPr>
        <w:t xml:space="preserve"> </w:t>
      </w:r>
      <w:r w:rsidRPr="00870B80">
        <w:rPr>
          <w:rFonts w:eastAsia="Times New Roman" w:cs="Calibri"/>
          <w:sz w:val="24"/>
          <w:szCs w:val="24"/>
          <w:lang w:val="es-ES"/>
        </w:rPr>
        <w:t>ser</w:t>
      </w:r>
      <w:r w:rsidRPr="00870B80">
        <w:rPr>
          <w:rFonts w:eastAsia="Times New Roman" w:cs="Calibri"/>
          <w:spacing w:val="-12"/>
          <w:sz w:val="24"/>
          <w:szCs w:val="24"/>
          <w:lang w:val="es-ES"/>
        </w:rPr>
        <w:t xml:space="preserve"> </w:t>
      </w:r>
      <w:r w:rsidRPr="00870B80">
        <w:rPr>
          <w:rFonts w:eastAsia="Times New Roman" w:cs="Calibri"/>
          <w:sz w:val="24"/>
          <w:szCs w:val="24"/>
          <w:lang w:val="es-ES"/>
        </w:rPr>
        <w:t>notificado</w:t>
      </w:r>
      <w:r w:rsidRPr="00870B80">
        <w:rPr>
          <w:rFonts w:eastAsia="Times New Roman" w:cs="Calibri"/>
          <w:spacing w:val="-2"/>
          <w:sz w:val="24"/>
          <w:szCs w:val="24"/>
          <w:lang w:val="es-ES"/>
        </w:rPr>
        <w:t xml:space="preserve"> </w:t>
      </w:r>
      <w:r w:rsidRPr="00870B80">
        <w:rPr>
          <w:rFonts w:eastAsia="Times New Roman" w:cs="Calibri"/>
          <w:sz w:val="24"/>
          <w:szCs w:val="24"/>
          <w:lang w:val="es-ES"/>
        </w:rPr>
        <w:t>al</w:t>
      </w:r>
      <w:r w:rsidRPr="00870B80">
        <w:rPr>
          <w:rFonts w:eastAsia="Times New Roman" w:cs="Calibri"/>
          <w:spacing w:val="-14"/>
          <w:sz w:val="24"/>
          <w:szCs w:val="24"/>
          <w:lang w:val="es-ES"/>
        </w:rPr>
        <w:t xml:space="preserve"> </w:t>
      </w:r>
      <w:r w:rsidRPr="00870B80">
        <w:rPr>
          <w:rFonts w:eastAsia="Times New Roman" w:cs="Calibri"/>
          <w:sz w:val="24"/>
          <w:szCs w:val="24"/>
          <w:lang w:val="es-ES"/>
        </w:rPr>
        <w:t>afectado.</w:t>
      </w:r>
    </w:p>
    <w:bookmarkEnd w:id="2"/>
    <w:p w14:paraId="341D9ED3" w14:textId="77777777" w:rsidR="00283822" w:rsidRPr="00870B80" w:rsidRDefault="00283822" w:rsidP="00283822">
      <w:pPr>
        <w:spacing w:after="0" w:line="240" w:lineRule="auto"/>
        <w:ind w:firstLine="708"/>
        <w:contextualSpacing/>
        <w:rPr>
          <w:sz w:val="24"/>
          <w:szCs w:val="24"/>
        </w:rPr>
      </w:pPr>
    </w:p>
    <w:p w14:paraId="6F62E48F" w14:textId="5828710A" w:rsidR="00283822" w:rsidRPr="00870B80" w:rsidRDefault="00283822" w:rsidP="009E32E2">
      <w:pPr>
        <w:spacing w:after="0" w:line="240" w:lineRule="auto"/>
        <w:ind w:firstLine="708"/>
        <w:contextualSpacing/>
        <w:rPr>
          <w:sz w:val="24"/>
          <w:szCs w:val="24"/>
        </w:rPr>
      </w:pPr>
      <w:r w:rsidRPr="00870B80">
        <w:rPr>
          <w:sz w:val="24"/>
          <w:szCs w:val="24"/>
        </w:rPr>
        <w:t xml:space="preserve">La ex </w:t>
      </w:r>
      <w:r w:rsidRPr="00870B80">
        <w:rPr>
          <w:i/>
          <w:iCs/>
          <w:sz w:val="24"/>
          <w:szCs w:val="24"/>
        </w:rPr>
        <w:t>directora de seguridad pública</w:t>
      </w:r>
      <w:r w:rsidRPr="00870B80">
        <w:rPr>
          <w:sz w:val="24"/>
          <w:szCs w:val="24"/>
        </w:rPr>
        <w:t xml:space="preserve"> recurrió de protección en contra de esta decisión, y el pasado</w:t>
      </w:r>
      <w:r w:rsidRPr="00870B80">
        <w:rPr>
          <w:rFonts w:eastAsia="Times New Roman" w:cs="Calibri"/>
          <w:sz w:val="24"/>
          <w:szCs w:val="24"/>
        </w:rPr>
        <w:t xml:space="preserve"> 9 de agosto de 2022 </w:t>
      </w:r>
      <w:r w:rsidR="009E32E2">
        <w:rPr>
          <w:rFonts w:eastAsia="Times New Roman" w:cs="Calibri"/>
          <w:sz w:val="24"/>
          <w:szCs w:val="24"/>
        </w:rPr>
        <w:t xml:space="preserve">en la </w:t>
      </w:r>
      <w:r w:rsidR="009E32E2" w:rsidRPr="009E32E2">
        <w:rPr>
          <w:rFonts w:eastAsia="Times New Roman" w:cs="Calibri"/>
          <w:sz w:val="24"/>
          <w:szCs w:val="24"/>
        </w:rPr>
        <w:t>causa Rol N° 75.618-2021</w:t>
      </w:r>
      <w:r w:rsidR="009E32E2">
        <w:rPr>
          <w:rFonts w:eastAsia="Times New Roman" w:cs="Calibri"/>
          <w:sz w:val="24"/>
          <w:szCs w:val="24"/>
        </w:rPr>
        <w:t xml:space="preserve"> </w:t>
      </w:r>
      <w:r w:rsidRPr="00870B80">
        <w:rPr>
          <w:rFonts w:eastAsia="Times New Roman" w:cs="Calibri"/>
          <w:sz w:val="24"/>
          <w:szCs w:val="24"/>
        </w:rPr>
        <w:t xml:space="preserve">la Corte Suprema de Justicia acogió el recurso, revocando el D.A. N° 4.409 de 06.07.21, por el cual se le formuló la petición de </w:t>
      </w:r>
      <w:r w:rsidRPr="00870B80">
        <w:rPr>
          <w:rFonts w:eastAsia="Times New Roman" w:cs="Calibri"/>
          <w:i/>
          <w:iCs/>
          <w:sz w:val="24"/>
          <w:szCs w:val="24"/>
        </w:rPr>
        <w:t>“renuncia no voluntaria”</w:t>
      </w:r>
      <w:r w:rsidRPr="00870B80">
        <w:rPr>
          <w:rFonts w:eastAsia="Times New Roman" w:cs="Calibri"/>
          <w:sz w:val="24"/>
          <w:szCs w:val="24"/>
        </w:rPr>
        <w:t xml:space="preserve"> y la consecuente declaración de </w:t>
      </w:r>
      <w:r w:rsidRPr="00870B80">
        <w:rPr>
          <w:rFonts w:eastAsia="Times New Roman" w:cs="Calibri"/>
          <w:i/>
          <w:iCs/>
          <w:sz w:val="24"/>
          <w:szCs w:val="24"/>
        </w:rPr>
        <w:t>vacancia</w:t>
      </w:r>
      <w:r w:rsidRPr="00870B80">
        <w:rPr>
          <w:rFonts w:eastAsia="Times New Roman" w:cs="Calibri"/>
          <w:sz w:val="24"/>
          <w:szCs w:val="24"/>
        </w:rPr>
        <w:t xml:space="preserve"> del cargo.</w:t>
      </w:r>
    </w:p>
    <w:p w14:paraId="3FE72EF8" w14:textId="77777777" w:rsidR="00283822" w:rsidRPr="00870B80" w:rsidRDefault="00283822" w:rsidP="00283822">
      <w:pPr>
        <w:spacing w:after="0" w:line="240" w:lineRule="auto"/>
        <w:ind w:firstLine="708"/>
        <w:contextualSpacing/>
        <w:rPr>
          <w:sz w:val="24"/>
          <w:szCs w:val="24"/>
        </w:rPr>
      </w:pPr>
    </w:p>
    <w:p w14:paraId="19F84CAA" w14:textId="77777777" w:rsidR="00322D27" w:rsidRDefault="00283822" w:rsidP="002C589E">
      <w:pPr>
        <w:numPr>
          <w:ilvl w:val="0"/>
          <w:numId w:val="14"/>
        </w:numPr>
        <w:tabs>
          <w:tab w:val="left" w:pos="993"/>
        </w:tabs>
        <w:spacing w:after="0" w:line="240" w:lineRule="auto"/>
        <w:ind w:left="0" w:firstLine="708"/>
        <w:contextualSpacing/>
        <w:rPr>
          <w:sz w:val="24"/>
          <w:szCs w:val="24"/>
        </w:rPr>
      </w:pPr>
      <w:r w:rsidRPr="006B2071">
        <w:rPr>
          <w:sz w:val="24"/>
          <w:szCs w:val="24"/>
        </w:rPr>
        <w:t>En s</w:t>
      </w:r>
      <w:r w:rsidR="009E32E2" w:rsidRPr="006B2071">
        <w:rPr>
          <w:sz w:val="24"/>
          <w:szCs w:val="24"/>
        </w:rPr>
        <w:t>u</w:t>
      </w:r>
      <w:r w:rsidRPr="006B2071">
        <w:rPr>
          <w:sz w:val="24"/>
          <w:szCs w:val="24"/>
        </w:rPr>
        <w:t xml:space="preserve"> fundamente, la Corte Suprema básicamente determinó que el </w:t>
      </w:r>
      <w:r w:rsidRPr="006B2071">
        <w:rPr>
          <w:i/>
          <w:iCs/>
          <w:sz w:val="24"/>
          <w:szCs w:val="24"/>
        </w:rPr>
        <w:t>director de seguridad pública</w:t>
      </w:r>
      <w:r w:rsidRPr="006B2071">
        <w:rPr>
          <w:sz w:val="24"/>
          <w:szCs w:val="24"/>
        </w:rPr>
        <w:t xml:space="preserve"> de una municipalidad </w:t>
      </w:r>
      <w:r w:rsidRPr="006B2071">
        <w:rPr>
          <w:b/>
          <w:bCs/>
          <w:sz w:val="24"/>
          <w:szCs w:val="24"/>
        </w:rPr>
        <w:t>no es un cargo de exclusiva confianza</w:t>
      </w:r>
      <w:r w:rsidRPr="006B2071">
        <w:rPr>
          <w:sz w:val="24"/>
          <w:szCs w:val="24"/>
        </w:rPr>
        <w:t xml:space="preserve">, ya que el carácter excepcional del régimen de los funcionarios de exclusiva confianza obliga a interpretar la normativa atingente de manera restrictiva, no pudiendo extenderse a casos asimilables, aun cuando se arguyan al efecto situaciones como la forma en que se proveyó el cargo o la naturaleza directiva de las funciones que el funcionario desempeñaba. </w:t>
      </w:r>
    </w:p>
    <w:p w14:paraId="366E17E1" w14:textId="77777777" w:rsidR="00322D27" w:rsidRDefault="00322D27" w:rsidP="00322D27">
      <w:pPr>
        <w:tabs>
          <w:tab w:val="left" w:pos="993"/>
        </w:tabs>
        <w:spacing w:after="0" w:line="240" w:lineRule="auto"/>
        <w:ind w:left="708"/>
        <w:contextualSpacing/>
        <w:rPr>
          <w:sz w:val="24"/>
          <w:szCs w:val="24"/>
        </w:rPr>
      </w:pPr>
    </w:p>
    <w:p w14:paraId="2E4952F6" w14:textId="65A1C76F" w:rsidR="006B2071" w:rsidRPr="006B2071" w:rsidRDefault="00283822" w:rsidP="00322D27">
      <w:pPr>
        <w:tabs>
          <w:tab w:val="left" w:pos="993"/>
        </w:tabs>
        <w:spacing w:after="0" w:line="240" w:lineRule="auto"/>
        <w:ind w:firstLine="708"/>
        <w:contextualSpacing/>
        <w:rPr>
          <w:sz w:val="24"/>
          <w:szCs w:val="24"/>
        </w:rPr>
      </w:pPr>
      <w:r w:rsidRPr="006B2071">
        <w:rPr>
          <w:sz w:val="24"/>
          <w:szCs w:val="24"/>
        </w:rPr>
        <w:t xml:space="preserve">En otras palabras, el </w:t>
      </w:r>
      <w:r w:rsidRPr="006B2071">
        <w:rPr>
          <w:b/>
          <w:bCs/>
          <w:sz w:val="24"/>
          <w:szCs w:val="24"/>
        </w:rPr>
        <w:t>cargo de exclusiva confianza no se define por la decisión de la autoridad a quien sirve el funcionario, sino por el ordenamiento jurídico</w:t>
      </w:r>
      <w:r w:rsidRPr="006B2071">
        <w:rPr>
          <w:sz w:val="24"/>
          <w:szCs w:val="24"/>
        </w:rPr>
        <w:t xml:space="preserve">. Por lo mismo, la ex </w:t>
      </w:r>
      <w:r w:rsidRPr="006B2071">
        <w:rPr>
          <w:i/>
          <w:iCs/>
          <w:sz w:val="24"/>
          <w:szCs w:val="24"/>
        </w:rPr>
        <w:t xml:space="preserve">directora de seguridad pública </w:t>
      </w:r>
      <w:r w:rsidRPr="006B2071">
        <w:rPr>
          <w:sz w:val="24"/>
          <w:szCs w:val="24"/>
        </w:rPr>
        <w:t xml:space="preserve">nunca detentó la calidad de funcionaria de exclusiva confianza como lo sostuvo la municipalidad de Viña del Mar, la cual, al atribuirle tal calidad sin existir norma legal que la sustentare, aparece que el acto deviene en </w:t>
      </w:r>
      <w:r w:rsidRPr="006B2071">
        <w:rPr>
          <w:b/>
          <w:bCs/>
          <w:sz w:val="24"/>
          <w:szCs w:val="24"/>
        </w:rPr>
        <w:t>arbitrario e ilegal</w:t>
      </w:r>
      <w:r w:rsidRPr="006B2071">
        <w:rPr>
          <w:sz w:val="24"/>
          <w:szCs w:val="24"/>
        </w:rPr>
        <w:t xml:space="preserve">, desde que atribuye a la actora una calidad que no mantenía, modificando de manera arbitraria e injustificada su régimen de terminación de los servicios, permitiendo que dicho término se fundara en una supuesta renuncia no voluntaria, que en la especie resulta del todo improcedente y afecta su derecho a la estabilidad en el empleo que mantiene desde que no comparte la calidad de funcionaria de exclusiva confianza. </w:t>
      </w:r>
      <w:r w:rsidR="006B2071" w:rsidRPr="006B2071">
        <w:rPr>
          <w:sz w:val="24"/>
          <w:szCs w:val="24"/>
        </w:rPr>
        <w:t>Además, la Corte Suprema indicó que la municipalidad afectó la garantía constitucional del numeral 24 del artículo 19 de la Constitución Política de la República de la recurrente, privándola de la misma, al aplicar un régimen de terminación de sus servicios que resulta inaplicable a la luz de los antecedentes. De igual modo, se afectó su derecho a ser tratada de modo igualitario respecto de personas en una situación similar a la suya, al aplicar una modalidad de término de los servicios que no le era aplicable.</w:t>
      </w:r>
    </w:p>
    <w:p w14:paraId="25F90F6F" w14:textId="5AC95595" w:rsidR="009E32E2" w:rsidRPr="006B2071" w:rsidRDefault="00283822" w:rsidP="006B2071">
      <w:pPr>
        <w:pStyle w:val="Prrafodelista"/>
        <w:numPr>
          <w:ilvl w:val="0"/>
          <w:numId w:val="14"/>
        </w:numPr>
        <w:tabs>
          <w:tab w:val="left" w:pos="993"/>
        </w:tabs>
        <w:spacing w:after="0" w:line="240" w:lineRule="auto"/>
        <w:ind w:left="0" w:firstLine="708"/>
        <w:rPr>
          <w:rFonts w:cs="Times New Roman"/>
          <w:sz w:val="24"/>
          <w:szCs w:val="24"/>
          <w:lang w:eastAsia="es-CL"/>
        </w:rPr>
      </w:pPr>
      <w:r w:rsidRPr="006B2071">
        <w:rPr>
          <w:sz w:val="24"/>
          <w:szCs w:val="24"/>
        </w:rPr>
        <w:lastRenderedPageBreak/>
        <w:t xml:space="preserve">A raíz de lo anterior, la Corte Suprema de Justicia obligó al municipio a </w:t>
      </w:r>
      <w:r w:rsidRPr="006B2071">
        <w:rPr>
          <w:b/>
          <w:bCs/>
          <w:sz w:val="24"/>
          <w:szCs w:val="24"/>
        </w:rPr>
        <w:t>dejar sin efecto el D.A. N° 4.409 y a decretar las medidas que permitieran restablecer el imperio del derecho</w:t>
      </w:r>
      <w:r w:rsidRPr="006B2071">
        <w:rPr>
          <w:sz w:val="24"/>
          <w:szCs w:val="24"/>
        </w:rPr>
        <w:t xml:space="preserve">, por lo que se debieron pagar a la ex funcionaria todos los estipendios de los 14 meses en que estuvo alejada de su cargo por una </w:t>
      </w:r>
      <w:r w:rsidRPr="006B2071">
        <w:rPr>
          <w:sz w:val="24"/>
          <w:szCs w:val="24"/>
          <w:u w:val="single"/>
        </w:rPr>
        <w:t>errada interpretación jurídica</w:t>
      </w:r>
      <w:r w:rsidRPr="006B2071">
        <w:rPr>
          <w:sz w:val="24"/>
          <w:szCs w:val="24"/>
        </w:rPr>
        <w:t xml:space="preserve"> de la norma legal. Y esta cifra alcanzó la cantidad de </w:t>
      </w:r>
      <w:r w:rsidRPr="006B2071">
        <w:rPr>
          <w:b/>
          <w:bCs/>
          <w:sz w:val="24"/>
          <w:szCs w:val="24"/>
        </w:rPr>
        <w:t>$49.847.547</w:t>
      </w:r>
      <w:r w:rsidR="009E32E2" w:rsidRPr="006B2071">
        <w:rPr>
          <w:b/>
          <w:bCs/>
          <w:sz w:val="24"/>
          <w:szCs w:val="24"/>
        </w:rPr>
        <w:t xml:space="preserve"> </w:t>
      </w:r>
      <w:r w:rsidR="009E32E2" w:rsidRPr="006B2071">
        <w:rPr>
          <w:sz w:val="24"/>
          <w:szCs w:val="24"/>
        </w:rPr>
        <w:t>(</w:t>
      </w:r>
      <w:r w:rsidR="009E32E2" w:rsidRPr="006B2071">
        <w:rPr>
          <w:rFonts w:cs="Times New Roman"/>
          <w:sz w:val="24"/>
          <w:szCs w:val="24"/>
          <w:lang w:eastAsia="es-CL"/>
        </w:rPr>
        <w:t>remuneraciones y estipendios, feriado legal, cotizaciones previsionales y de salud, debidamente reajustados entre el 8.07.21 y el 16.08.22).</w:t>
      </w:r>
    </w:p>
    <w:p w14:paraId="7FA46B41" w14:textId="77777777" w:rsidR="00DA5594" w:rsidRDefault="00DA5594" w:rsidP="00DA5594">
      <w:pPr>
        <w:tabs>
          <w:tab w:val="left" w:pos="993"/>
        </w:tabs>
        <w:spacing w:after="0" w:line="240" w:lineRule="auto"/>
        <w:rPr>
          <w:rFonts w:cs="Times New Roman"/>
          <w:sz w:val="24"/>
          <w:szCs w:val="24"/>
          <w:lang w:eastAsia="es-CL"/>
        </w:rPr>
      </w:pPr>
    </w:p>
    <w:p w14:paraId="187E1509" w14:textId="5886DCA8" w:rsidR="00DA5594" w:rsidRPr="00DA5594" w:rsidRDefault="00DA5594" w:rsidP="00DA5594">
      <w:pPr>
        <w:tabs>
          <w:tab w:val="left" w:pos="709"/>
        </w:tabs>
        <w:spacing w:after="0" w:line="240" w:lineRule="auto"/>
        <w:rPr>
          <w:rFonts w:cs="Times New Roman"/>
          <w:sz w:val="24"/>
          <w:szCs w:val="24"/>
          <w:lang w:eastAsia="es-CL"/>
        </w:rPr>
      </w:pPr>
      <w:r>
        <w:rPr>
          <w:rFonts w:cs="Times New Roman"/>
          <w:sz w:val="24"/>
          <w:szCs w:val="24"/>
          <w:lang w:eastAsia="es-CL"/>
        </w:rPr>
        <w:tab/>
        <w:t xml:space="preserve">4. </w:t>
      </w:r>
      <w:r w:rsidRPr="00DA5594">
        <w:rPr>
          <w:rFonts w:cs="Times New Roman"/>
          <w:sz w:val="24"/>
          <w:szCs w:val="24"/>
          <w:lang w:eastAsia="es-CL"/>
        </w:rPr>
        <w:t xml:space="preserve">Ante una consulta que formulé al departamento jurídico, a través del memorando N° 59/02/23 de fecha 28 de febrero de 2023, sobre si se </w:t>
      </w:r>
      <w:r>
        <w:rPr>
          <w:rFonts w:cs="Times New Roman"/>
          <w:sz w:val="24"/>
          <w:szCs w:val="24"/>
          <w:lang w:eastAsia="es-CL"/>
        </w:rPr>
        <w:t>había</w:t>
      </w:r>
      <w:r w:rsidRPr="00DA5594">
        <w:rPr>
          <w:rFonts w:cs="Times New Roman"/>
          <w:sz w:val="24"/>
          <w:szCs w:val="24"/>
          <w:lang w:eastAsia="es-CL"/>
        </w:rPr>
        <w:t xml:space="preserve"> realiza</w:t>
      </w:r>
      <w:r>
        <w:rPr>
          <w:rFonts w:cs="Times New Roman"/>
          <w:sz w:val="24"/>
          <w:szCs w:val="24"/>
          <w:lang w:eastAsia="es-CL"/>
        </w:rPr>
        <w:t>do</w:t>
      </w:r>
      <w:r w:rsidRPr="00DA5594">
        <w:rPr>
          <w:rFonts w:cs="Times New Roman"/>
          <w:sz w:val="24"/>
          <w:szCs w:val="24"/>
          <w:lang w:eastAsia="es-CL"/>
        </w:rPr>
        <w:t xml:space="preserve"> al interior de dicha unidad alguna investigación sumaria o sumario administrativo para perseguir las eventuales responsabilidades administrativa</w:t>
      </w:r>
      <w:r>
        <w:rPr>
          <w:rFonts w:cs="Times New Roman"/>
          <w:sz w:val="24"/>
          <w:szCs w:val="24"/>
          <w:lang w:eastAsia="es-CL"/>
        </w:rPr>
        <w:t>s</w:t>
      </w:r>
      <w:r w:rsidRPr="00DA5594">
        <w:rPr>
          <w:rFonts w:cs="Times New Roman"/>
          <w:sz w:val="24"/>
          <w:szCs w:val="24"/>
          <w:lang w:eastAsia="es-CL"/>
        </w:rPr>
        <w:t xml:space="preserve"> por esta situación, la directora jurídica me respondió por memorando N° 815 de fecha 16 de marzo de 2023, que la actuación de la municipalidad se había ajustado a los dictámenes de la Contraloría General de la República y que </w:t>
      </w:r>
      <w:r w:rsidRPr="00DA5594">
        <w:rPr>
          <w:rFonts w:cs="Times New Roman"/>
          <w:b/>
          <w:bCs/>
          <w:sz w:val="24"/>
          <w:szCs w:val="24"/>
          <w:lang w:eastAsia="es-CL"/>
        </w:rPr>
        <w:t>de la labor jurídica nacen obligaciones de medio</w:t>
      </w:r>
      <w:r w:rsidR="00D6273E">
        <w:rPr>
          <w:rFonts w:cs="Times New Roman"/>
          <w:b/>
          <w:bCs/>
          <w:sz w:val="24"/>
          <w:szCs w:val="24"/>
          <w:lang w:eastAsia="es-CL"/>
        </w:rPr>
        <w:t>s</w:t>
      </w:r>
      <w:r w:rsidRPr="00DA5594">
        <w:rPr>
          <w:rFonts w:cs="Times New Roman"/>
          <w:b/>
          <w:bCs/>
          <w:sz w:val="24"/>
          <w:szCs w:val="24"/>
          <w:lang w:eastAsia="es-CL"/>
        </w:rPr>
        <w:t xml:space="preserve"> y no de resultado</w:t>
      </w:r>
      <w:r w:rsidRPr="00DA5594">
        <w:rPr>
          <w:rFonts w:cs="Times New Roman"/>
          <w:sz w:val="24"/>
          <w:szCs w:val="24"/>
          <w:lang w:eastAsia="es-CL"/>
        </w:rPr>
        <w:t>, por lo que no existían faltas administrativas que deban ser objeto de investigación en procedimiento disciplinario alguno.</w:t>
      </w:r>
    </w:p>
    <w:p w14:paraId="0C2E896B" w14:textId="77777777" w:rsidR="009D42AE" w:rsidRPr="00F23537" w:rsidRDefault="009D42AE" w:rsidP="00501372">
      <w:pPr>
        <w:spacing w:after="0" w:line="240" w:lineRule="auto"/>
        <w:ind w:firstLine="708"/>
        <w:rPr>
          <w:rFonts w:cs="Times New Roman"/>
          <w:sz w:val="24"/>
          <w:szCs w:val="24"/>
          <w:lang w:eastAsia="es-CL"/>
        </w:rPr>
      </w:pPr>
    </w:p>
    <w:p w14:paraId="47E63426" w14:textId="56B76EBD" w:rsidR="0073065D" w:rsidRPr="007045DE" w:rsidRDefault="009E7E86" w:rsidP="00501372">
      <w:pPr>
        <w:pStyle w:val="Prrafodelista"/>
        <w:numPr>
          <w:ilvl w:val="0"/>
          <w:numId w:val="16"/>
        </w:numPr>
        <w:tabs>
          <w:tab w:val="left" w:pos="993"/>
        </w:tabs>
        <w:spacing w:after="0" w:line="240" w:lineRule="auto"/>
        <w:ind w:left="0" w:firstLine="709"/>
        <w:rPr>
          <w:rFonts w:cs="Times New Roman"/>
          <w:sz w:val="24"/>
          <w:szCs w:val="24"/>
          <w:lang w:eastAsia="es-CL"/>
        </w:rPr>
      </w:pPr>
      <w:r w:rsidRPr="00197CD6">
        <w:rPr>
          <w:rFonts w:cs="Times New Roman"/>
          <w:sz w:val="24"/>
          <w:szCs w:val="24"/>
          <w:lang w:eastAsia="es-CL"/>
        </w:rPr>
        <w:t>Es cierto que</w:t>
      </w:r>
      <w:r w:rsidR="00501372" w:rsidRPr="00197CD6">
        <w:rPr>
          <w:rFonts w:cs="Times New Roman"/>
          <w:sz w:val="24"/>
          <w:szCs w:val="24"/>
          <w:lang w:eastAsia="es-CL"/>
        </w:rPr>
        <w:t xml:space="preserve"> las </w:t>
      </w:r>
      <w:r w:rsidR="00501372" w:rsidRPr="00197CD6">
        <w:rPr>
          <w:rFonts w:cstheme="minorHAnsi"/>
          <w:sz w:val="24"/>
          <w:szCs w:val="24"/>
          <w:lang w:eastAsia="es-CL"/>
        </w:rPr>
        <w:t xml:space="preserve">obligaciones asumidas por la asesoría jurídica corresponden efectivamente a las denominadas </w:t>
      </w:r>
      <w:r w:rsidR="00501372" w:rsidRPr="00197CD6">
        <w:rPr>
          <w:rFonts w:cstheme="minorHAnsi"/>
          <w:i/>
          <w:iCs/>
          <w:sz w:val="24"/>
          <w:szCs w:val="24"/>
          <w:lang w:eastAsia="es-CL"/>
        </w:rPr>
        <w:t>de medios</w:t>
      </w:r>
      <w:r w:rsidR="00501372" w:rsidRPr="00197CD6">
        <w:rPr>
          <w:rFonts w:cstheme="minorHAnsi"/>
          <w:sz w:val="24"/>
          <w:szCs w:val="24"/>
          <w:lang w:eastAsia="es-CL"/>
        </w:rPr>
        <w:t xml:space="preserve">, que imponen una exigencia distinta a si la obligación fuera </w:t>
      </w:r>
      <w:r w:rsidR="00501372" w:rsidRPr="00197CD6">
        <w:rPr>
          <w:rFonts w:cstheme="minorHAnsi"/>
          <w:i/>
          <w:iCs/>
          <w:sz w:val="24"/>
          <w:szCs w:val="24"/>
          <w:lang w:eastAsia="es-CL"/>
        </w:rPr>
        <w:t>de resultado</w:t>
      </w:r>
      <w:r w:rsidR="00501372" w:rsidRPr="00197CD6">
        <w:rPr>
          <w:rFonts w:cstheme="minorHAnsi"/>
          <w:sz w:val="24"/>
          <w:szCs w:val="24"/>
          <w:lang w:eastAsia="es-CL"/>
        </w:rPr>
        <w:t>. La principal distinción entre una u otra radica en las expectativas que el derecho cautela a quienes hacen el encargo, puesto que en la obligación de medios el deber profesional consiste en aplicar conocimientos y capacidades en servicio de su contraparte, pero no se asume el deber de proporcionar el beneficio o resultado final perseguido por aqu</w:t>
      </w:r>
      <w:r w:rsidR="00197CD6">
        <w:rPr>
          <w:rFonts w:cstheme="minorHAnsi"/>
          <w:sz w:val="24"/>
          <w:szCs w:val="24"/>
          <w:lang w:eastAsia="es-CL"/>
        </w:rPr>
        <w:t>é</w:t>
      </w:r>
      <w:r w:rsidR="00501372" w:rsidRPr="00197CD6">
        <w:rPr>
          <w:rFonts w:cstheme="minorHAnsi"/>
          <w:sz w:val="24"/>
          <w:szCs w:val="24"/>
          <w:lang w:eastAsia="es-CL"/>
        </w:rPr>
        <w:t>lla, lo que sí es propio de la obligación de resultado, caso en el cual el profesional se obliga a otorgar</w:t>
      </w:r>
      <w:r w:rsidR="00322D27">
        <w:rPr>
          <w:rFonts w:cstheme="minorHAnsi"/>
          <w:sz w:val="24"/>
          <w:szCs w:val="24"/>
          <w:lang w:eastAsia="es-CL"/>
        </w:rPr>
        <w:t>le</w:t>
      </w:r>
      <w:r w:rsidR="00501372" w:rsidRPr="00197CD6">
        <w:rPr>
          <w:rFonts w:cstheme="minorHAnsi"/>
          <w:sz w:val="24"/>
          <w:szCs w:val="24"/>
          <w:lang w:eastAsia="es-CL"/>
        </w:rPr>
        <w:t xml:space="preserve"> el beneficio preciso que ést</w:t>
      </w:r>
      <w:r w:rsidR="00197CD6">
        <w:rPr>
          <w:rFonts w:cstheme="minorHAnsi"/>
          <w:sz w:val="24"/>
          <w:szCs w:val="24"/>
          <w:lang w:eastAsia="es-CL"/>
        </w:rPr>
        <w:t>a</w:t>
      </w:r>
      <w:r w:rsidR="00501372" w:rsidRPr="00197CD6">
        <w:rPr>
          <w:rFonts w:cstheme="minorHAnsi"/>
          <w:sz w:val="24"/>
          <w:szCs w:val="24"/>
          <w:lang w:eastAsia="es-CL"/>
        </w:rPr>
        <w:t xml:space="preserve"> pretende obtener.</w:t>
      </w:r>
    </w:p>
    <w:p w14:paraId="68F2E017" w14:textId="77777777" w:rsidR="007045DE" w:rsidRDefault="007045DE" w:rsidP="007045DE">
      <w:pPr>
        <w:pStyle w:val="Prrafodelista"/>
        <w:tabs>
          <w:tab w:val="left" w:pos="993"/>
        </w:tabs>
        <w:spacing w:after="0" w:line="240" w:lineRule="auto"/>
        <w:ind w:left="709"/>
        <w:rPr>
          <w:rFonts w:cstheme="minorHAnsi"/>
          <w:sz w:val="24"/>
          <w:szCs w:val="24"/>
          <w:lang w:eastAsia="es-CL"/>
        </w:rPr>
      </w:pPr>
    </w:p>
    <w:p w14:paraId="1C0286B9" w14:textId="0F8DB758" w:rsidR="007045DE" w:rsidRPr="007045DE" w:rsidRDefault="00B3135F" w:rsidP="00B3135F">
      <w:pPr>
        <w:tabs>
          <w:tab w:val="left" w:pos="709"/>
        </w:tabs>
        <w:spacing w:after="0" w:line="240" w:lineRule="auto"/>
        <w:rPr>
          <w:rFonts w:cstheme="minorHAnsi"/>
          <w:sz w:val="24"/>
          <w:szCs w:val="24"/>
          <w:lang w:eastAsia="es-CL"/>
        </w:rPr>
      </w:pPr>
      <w:r>
        <w:rPr>
          <w:rFonts w:cstheme="minorHAnsi"/>
          <w:sz w:val="24"/>
          <w:szCs w:val="24"/>
          <w:lang w:eastAsia="es-CL"/>
        </w:rPr>
        <w:tab/>
      </w:r>
      <w:r w:rsidR="007045DE" w:rsidRPr="007045DE">
        <w:rPr>
          <w:rFonts w:cstheme="minorHAnsi"/>
          <w:sz w:val="24"/>
          <w:szCs w:val="24"/>
          <w:lang w:eastAsia="es-CL"/>
        </w:rPr>
        <w:t>Sin embargo, en este caso no estamos frente a lo señalado por la Dirección Jurídica, toda vez que</w:t>
      </w:r>
      <w:r w:rsidR="007045DE">
        <w:rPr>
          <w:rFonts w:cstheme="minorHAnsi"/>
          <w:sz w:val="24"/>
          <w:szCs w:val="24"/>
          <w:lang w:eastAsia="es-CL"/>
        </w:rPr>
        <w:t>, la indemnización pagada obedece a una causa anterior que dio orígen a todo, cual es, la errónea asesoría en términos de asegurar que, “</w:t>
      </w:r>
      <w:r w:rsidR="007045DE" w:rsidRPr="007045DE">
        <w:rPr>
          <w:rFonts w:cstheme="minorHAnsi"/>
          <w:i/>
          <w:iCs/>
          <w:sz w:val="24"/>
          <w:szCs w:val="24"/>
          <w:lang w:eastAsia="es-CL"/>
        </w:rPr>
        <w:t>de acuerdo a la Ley 18.695, Orgánica Constitucional de Municipalidades, el alcalde está facultado para crear el cargo de director de seguridad pública con acuerdo del concejo municipal, y designar y remover a su director</w:t>
      </w:r>
      <w:r w:rsidR="007045DE">
        <w:rPr>
          <w:rFonts w:cstheme="minorHAnsi"/>
          <w:sz w:val="24"/>
          <w:szCs w:val="24"/>
          <w:lang w:eastAsia="es-CL"/>
        </w:rPr>
        <w:t>”</w:t>
      </w:r>
      <w:r w:rsidR="007045DE" w:rsidRPr="007045DE">
        <w:rPr>
          <w:rFonts w:cstheme="minorHAnsi"/>
          <w:sz w:val="24"/>
          <w:szCs w:val="24"/>
          <w:lang w:eastAsia="es-CL"/>
        </w:rPr>
        <w:t xml:space="preserve">. </w:t>
      </w:r>
    </w:p>
    <w:p w14:paraId="5213521F" w14:textId="77777777" w:rsidR="00B3135F" w:rsidRDefault="00B3135F" w:rsidP="007045DE">
      <w:pPr>
        <w:tabs>
          <w:tab w:val="left" w:pos="993"/>
        </w:tabs>
        <w:spacing w:after="0" w:line="240" w:lineRule="auto"/>
        <w:rPr>
          <w:rFonts w:cstheme="minorHAnsi"/>
          <w:sz w:val="24"/>
          <w:szCs w:val="24"/>
          <w:lang w:eastAsia="es-CL"/>
        </w:rPr>
      </w:pPr>
    </w:p>
    <w:p w14:paraId="27F729F8" w14:textId="4A4248E0" w:rsidR="007045DE" w:rsidRPr="007045DE" w:rsidRDefault="00B3135F" w:rsidP="00B3135F">
      <w:pPr>
        <w:tabs>
          <w:tab w:val="left" w:pos="709"/>
        </w:tabs>
        <w:spacing w:after="0" w:line="240" w:lineRule="auto"/>
        <w:rPr>
          <w:rFonts w:cstheme="minorHAnsi"/>
          <w:sz w:val="24"/>
          <w:szCs w:val="24"/>
          <w:lang w:val="es-ES" w:eastAsia="es-CL"/>
        </w:rPr>
      </w:pPr>
      <w:r>
        <w:rPr>
          <w:rFonts w:cstheme="minorHAnsi"/>
          <w:sz w:val="24"/>
          <w:szCs w:val="24"/>
          <w:lang w:eastAsia="es-CL"/>
        </w:rPr>
        <w:tab/>
      </w:r>
      <w:r w:rsidR="001575A2">
        <w:rPr>
          <w:rFonts w:cstheme="minorHAnsi"/>
          <w:sz w:val="24"/>
          <w:szCs w:val="24"/>
          <w:lang w:eastAsia="es-CL"/>
        </w:rPr>
        <w:t>Y además, señalar como fundamento que, “</w:t>
      </w:r>
      <w:r w:rsidR="007045DE" w:rsidRPr="007045DE">
        <w:rPr>
          <w:rFonts w:cstheme="minorHAnsi"/>
          <w:i/>
          <w:iCs/>
          <w:sz w:val="24"/>
          <w:szCs w:val="24"/>
          <w:lang w:eastAsia="es-CL"/>
        </w:rPr>
        <w:t xml:space="preserve">de acuerdo a dictámenes de la Contraloría General de la República, quien ocupa una plaza de exclusiva confianza del alcalde no goza de estabilidad en el empleo, </w:t>
      </w:r>
      <w:r w:rsidR="007045DE" w:rsidRPr="007045DE">
        <w:rPr>
          <w:rFonts w:cstheme="minorHAnsi"/>
          <w:i/>
          <w:iCs/>
          <w:sz w:val="24"/>
          <w:szCs w:val="24"/>
          <w:lang w:val="es-ES" w:eastAsia="es-CL"/>
        </w:rPr>
        <w:t>pues está sujeto a la libre designación y remoción de  aquel,</w:t>
      </w:r>
      <w:r w:rsidR="007045DE" w:rsidRPr="007045DE">
        <w:rPr>
          <w:rFonts w:cstheme="minorHAnsi"/>
          <w:i/>
          <w:iCs/>
          <w:sz w:val="24"/>
          <w:szCs w:val="24"/>
          <w:lang w:eastAsia="es-CL"/>
        </w:rPr>
        <w:t xml:space="preserve"> por lo que la pérdida de      dicha confianza, implica que el servidor debe abandonar su cargo, lo que se debe hacer efectivo con la petición de renuncia, dimisión que debe ser presentada ante la autoridad dentro del plazo que ésta indique</w:t>
      </w:r>
      <w:r w:rsidR="007045DE" w:rsidRPr="007045DE">
        <w:rPr>
          <w:rFonts w:cstheme="minorHAnsi"/>
          <w:i/>
          <w:iCs/>
          <w:sz w:val="24"/>
          <w:szCs w:val="24"/>
          <w:lang w:val="es-ES" w:eastAsia="es-CL"/>
        </w:rPr>
        <w:t>, pues en el caso contrario, procede declarar su vacancia a través del pertinente decreto, el que debe ser notificado al afectado</w:t>
      </w:r>
      <w:r w:rsidR="001575A2">
        <w:rPr>
          <w:rFonts w:cstheme="minorHAnsi"/>
          <w:sz w:val="24"/>
          <w:szCs w:val="24"/>
          <w:lang w:val="es-ES" w:eastAsia="es-CL"/>
        </w:rPr>
        <w:t>”</w:t>
      </w:r>
      <w:r w:rsidR="007045DE" w:rsidRPr="007045DE">
        <w:rPr>
          <w:rFonts w:cstheme="minorHAnsi"/>
          <w:sz w:val="24"/>
          <w:szCs w:val="24"/>
          <w:lang w:val="es-ES" w:eastAsia="es-CL"/>
        </w:rPr>
        <w:t>.</w:t>
      </w:r>
    </w:p>
    <w:p w14:paraId="35826A9E" w14:textId="7F7958BF" w:rsidR="00CD5E96" w:rsidRDefault="007045DE" w:rsidP="001575A2">
      <w:pPr>
        <w:tabs>
          <w:tab w:val="left" w:pos="993"/>
        </w:tabs>
        <w:spacing w:after="0" w:line="240" w:lineRule="auto"/>
        <w:rPr>
          <w:rFonts w:cstheme="minorHAnsi"/>
          <w:sz w:val="24"/>
          <w:szCs w:val="24"/>
          <w:lang w:val="es-ES"/>
        </w:rPr>
      </w:pPr>
      <w:r w:rsidRPr="007045DE">
        <w:rPr>
          <w:rFonts w:cstheme="minorHAnsi"/>
          <w:sz w:val="24"/>
          <w:szCs w:val="24"/>
          <w:lang w:eastAsia="es-CL"/>
        </w:rPr>
        <w:t xml:space="preserve"> </w:t>
      </w:r>
    </w:p>
    <w:p w14:paraId="19074AA0" w14:textId="08AB1150" w:rsidR="00B65738" w:rsidRPr="003E1424" w:rsidRDefault="001575A2" w:rsidP="003E1424">
      <w:pPr>
        <w:widowControl w:val="0"/>
        <w:autoSpaceDE w:val="0"/>
        <w:autoSpaceDN w:val="0"/>
        <w:spacing w:after="0" w:line="240" w:lineRule="auto"/>
        <w:ind w:right="123" w:firstLine="720"/>
        <w:rPr>
          <w:rFonts w:cs="Times New Roman"/>
          <w:sz w:val="24"/>
          <w:szCs w:val="24"/>
          <w:lang w:eastAsia="es-CL"/>
        </w:rPr>
      </w:pPr>
      <w:r>
        <w:rPr>
          <w:rFonts w:cs="Times New Roman"/>
          <w:sz w:val="24"/>
          <w:szCs w:val="24"/>
          <w:lang w:eastAsia="es-CL"/>
        </w:rPr>
        <w:t>L</w:t>
      </w:r>
      <w:r w:rsidR="00D6273E">
        <w:rPr>
          <w:rFonts w:cs="Times New Roman"/>
          <w:sz w:val="24"/>
          <w:szCs w:val="24"/>
          <w:lang w:eastAsia="es-CL"/>
        </w:rPr>
        <w:t>a</w:t>
      </w:r>
      <w:r w:rsidR="00D66CE8" w:rsidRPr="003E1424">
        <w:rPr>
          <w:rFonts w:cs="Times New Roman"/>
          <w:sz w:val="24"/>
          <w:szCs w:val="24"/>
          <w:lang w:eastAsia="es-CL"/>
        </w:rPr>
        <w:t xml:space="preserve"> </w:t>
      </w:r>
      <w:r w:rsidR="002B114A">
        <w:rPr>
          <w:rFonts w:cs="Times New Roman"/>
          <w:sz w:val="24"/>
          <w:szCs w:val="24"/>
          <w:lang w:eastAsia="es-CL"/>
        </w:rPr>
        <w:t>directora jurídica</w:t>
      </w:r>
      <w:r w:rsidR="00D66CE8" w:rsidRPr="003E1424">
        <w:rPr>
          <w:rFonts w:cs="Times New Roman"/>
          <w:sz w:val="24"/>
          <w:szCs w:val="24"/>
          <w:lang w:eastAsia="es-CL"/>
        </w:rPr>
        <w:t xml:space="preserve"> está obligad</w:t>
      </w:r>
      <w:r w:rsidR="00D6273E">
        <w:rPr>
          <w:rFonts w:cs="Times New Roman"/>
          <w:sz w:val="24"/>
          <w:szCs w:val="24"/>
          <w:lang w:eastAsia="es-CL"/>
        </w:rPr>
        <w:t>a</w:t>
      </w:r>
      <w:r w:rsidR="00D66CE8" w:rsidRPr="003E1424">
        <w:rPr>
          <w:rFonts w:cs="Times New Roman"/>
          <w:sz w:val="24"/>
          <w:szCs w:val="24"/>
          <w:lang w:eastAsia="es-CL"/>
        </w:rPr>
        <w:t xml:space="preserve"> a ejercer diligentemente su actividad, cumpliendo todos los actos y conductas </w:t>
      </w:r>
      <w:r w:rsidR="00B65738" w:rsidRPr="003E1424">
        <w:rPr>
          <w:rFonts w:cs="Times New Roman"/>
          <w:sz w:val="24"/>
          <w:szCs w:val="24"/>
          <w:lang w:eastAsia="es-CL"/>
        </w:rPr>
        <w:t xml:space="preserve">y adoptando lo medios </w:t>
      </w:r>
      <w:r w:rsidR="00D66CE8" w:rsidRPr="003E1424">
        <w:rPr>
          <w:rFonts w:cs="Times New Roman"/>
          <w:sz w:val="24"/>
          <w:szCs w:val="24"/>
          <w:lang w:eastAsia="es-CL"/>
        </w:rPr>
        <w:t>necesari</w:t>
      </w:r>
      <w:r w:rsidR="00B65738" w:rsidRPr="003E1424">
        <w:rPr>
          <w:rFonts w:cs="Times New Roman"/>
          <w:sz w:val="24"/>
          <w:szCs w:val="24"/>
          <w:lang w:eastAsia="es-CL"/>
        </w:rPr>
        <w:t>os</w:t>
      </w:r>
      <w:r w:rsidR="00D66CE8" w:rsidRPr="003E1424">
        <w:rPr>
          <w:rFonts w:cs="Times New Roman"/>
          <w:sz w:val="24"/>
          <w:szCs w:val="24"/>
          <w:lang w:eastAsia="es-CL"/>
        </w:rPr>
        <w:t xml:space="preserve"> para el </w:t>
      </w:r>
      <w:r w:rsidR="00B65738" w:rsidRPr="003E1424">
        <w:rPr>
          <w:rFonts w:cs="Times New Roman"/>
          <w:sz w:val="24"/>
          <w:szCs w:val="24"/>
          <w:lang w:eastAsia="es-CL"/>
        </w:rPr>
        <w:t xml:space="preserve">correcto </w:t>
      </w:r>
      <w:r w:rsidR="00D66CE8" w:rsidRPr="003E1424">
        <w:rPr>
          <w:rFonts w:cs="Times New Roman"/>
          <w:sz w:val="24"/>
          <w:szCs w:val="24"/>
          <w:lang w:eastAsia="es-CL"/>
        </w:rPr>
        <w:t xml:space="preserve">ejercicio de </w:t>
      </w:r>
      <w:r w:rsidR="00B65738" w:rsidRPr="003E1424">
        <w:rPr>
          <w:rFonts w:cs="Times New Roman"/>
          <w:sz w:val="24"/>
          <w:szCs w:val="24"/>
          <w:lang w:eastAsia="es-CL"/>
        </w:rPr>
        <w:t>su</w:t>
      </w:r>
      <w:r w:rsidR="00D66CE8" w:rsidRPr="003E1424">
        <w:rPr>
          <w:rFonts w:cs="Times New Roman"/>
          <w:sz w:val="24"/>
          <w:szCs w:val="24"/>
          <w:lang w:eastAsia="es-CL"/>
        </w:rPr>
        <w:t xml:space="preserve"> </w:t>
      </w:r>
      <w:r w:rsidR="00B65738" w:rsidRPr="003E1424">
        <w:rPr>
          <w:rFonts w:cs="Times New Roman"/>
          <w:sz w:val="24"/>
          <w:szCs w:val="24"/>
          <w:lang w:eastAsia="es-CL"/>
        </w:rPr>
        <w:t xml:space="preserve">asesoría, esto es, actuando de acuerdo a </w:t>
      </w:r>
      <w:r w:rsidR="00B65738" w:rsidRPr="002B114A">
        <w:rPr>
          <w:rFonts w:cs="Times New Roman"/>
          <w:i/>
          <w:iCs/>
          <w:sz w:val="24"/>
          <w:szCs w:val="24"/>
          <w:lang w:eastAsia="es-CL"/>
        </w:rPr>
        <w:t>la lex artis</w:t>
      </w:r>
      <w:r w:rsidR="002B114A">
        <w:rPr>
          <w:rFonts w:cs="Times New Roman"/>
          <w:sz w:val="24"/>
          <w:szCs w:val="24"/>
          <w:lang w:eastAsia="es-CL"/>
        </w:rPr>
        <w:t>.</w:t>
      </w:r>
      <w:r>
        <w:rPr>
          <w:rFonts w:cs="Times New Roman"/>
          <w:sz w:val="24"/>
          <w:szCs w:val="24"/>
          <w:lang w:eastAsia="es-CL"/>
        </w:rPr>
        <w:t xml:space="preserve"> No estamos frente a obligaciones de medio o de resultados, como se pretende justificar, sino que frente a una asesoría poco diligente en aplicar e interpretar erróneamente normas jurídicas.</w:t>
      </w:r>
    </w:p>
    <w:p w14:paraId="747E6CB1" w14:textId="77777777" w:rsidR="00B65738" w:rsidRDefault="00B65738" w:rsidP="00D66CE8">
      <w:pPr>
        <w:widowControl w:val="0"/>
        <w:autoSpaceDE w:val="0"/>
        <w:autoSpaceDN w:val="0"/>
        <w:spacing w:after="0" w:line="240" w:lineRule="auto"/>
        <w:ind w:left="108" w:right="121"/>
        <w:rPr>
          <w:rFonts w:eastAsia="Times New Roman" w:cstheme="minorHAnsi"/>
          <w:color w:val="231F20"/>
          <w:w w:val="105"/>
          <w:sz w:val="24"/>
          <w:szCs w:val="24"/>
          <w:lang w:val="es-ES"/>
        </w:rPr>
      </w:pPr>
    </w:p>
    <w:p w14:paraId="69B23F4F" w14:textId="6E5A5216" w:rsidR="00D66CE8" w:rsidRPr="003E1424" w:rsidRDefault="002B114A" w:rsidP="002B114A">
      <w:pPr>
        <w:widowControl w:val="0"/>
        <w:autoSpaceDE w:val="0"/>
        <w:autoSpaceDN w:val="0"/>
        <w:spacing w:after="0" w:line="240" w:lineRule="auto"/>
        <w:ind w:right="123" w:firstLine="720"/>
        <w:rPr>
          <w:rFonts w:cs="Times New Roman"/>
          <w:sz w:val="24"/>
          <w:szCs w:val="24"/>
          <w:lang w:eastAsia="es-CL"/>
        </w:rPr>
      </w:pPr>
      <w:r>
        <w:rPr>
          <w:rFonts w:cs="Times New Roman"/>
          <w:sz w:val="24"/>
          <w:szCs w:val="24"/>
          <w:lang w:eastAsia="es-CL"/>
        </w:rPr>
        <w:t xml:space="preserve">En efecto, </w:t>
      </w:r>
      <w:r w:rsidR="00D66CE8" w:rsidRPr="003E1424">
        <w:rPr>
          <w:rFonts w:cs="Times New Roman"/>
          <w:sz w:val="24"/>
          <w:szCs w:val="24"/>
          <w:lang w:eastAsia="es-CL"/>
        </w:rPr>
        <w:t>la responsabilidad de</w:t>
      </w:r>
      <w:r>
        <w:rPr>
          <w:rFonts w:cs="Times New Roman"/>
          <w:sz w:val="24"/>
          <w:szCs w:val="24"/>
          <w:lang w:eastAsia="es-CL"/>
        </w:rPr>
        <w:t xml:space="preserve"> </w:t>
      </w:r>
      <w:r w:rsidR="00D66CE8" w:rsidRPr="003E1424">
        <w:rPr>
          <w:rFonts w:cs="Times New Roman"/>
          <w:sz w:val="24"/>
          <w:szCs w:val="24"/>
          <w:lang w:eastAsia="es-CL"/>
        </w:rPr>
        <w:t>l</w:t>
      </w:r>
      <w:r>
        <w:rPr>
          <w:rFonts w:cs="Times New Roman"/>
          <w:sz w:val="24"/>
          <w:szCs w:val="24"/>
          <w:lang w:eastAsia="es-CL"/>
        </w:rPr>
        <w:t>a</w:t>
      </w:r>
      <w:r w:rsidR="00D66CE8" w:rsidRPr="003E1424">
        <w:rPr>
          <w:rFonts w:cs="Times New Roman"/>
          <w:sz w:val="24"/>
          <w:szCs w:val="24"/>
          <w:lang w:eastAsia="es-CL"/>
        </w:rPr>
        <w:t xml:space="preserve"> abogad</w:t>
      </w:r>
      <w:r>
        <w:rPr>
          <w:rFonts w:cs="Times New Roman"/>
          <w:sz w:val="24"/>
          <w:szCs w:val="24"/>
          <w:lang w:eastAsia="es-CL"/>
        </w:rPr>
        <w:t xml:space="preserve">a </w:t>
      </w:r>
      <w:r w:rsidR="00D66CE8" w:rsidRPr="003E1424">
        <w:rPr>
          <w:rFonts w:cs="Times New Roman"/>
          <w:sz w:val="24"/>
          <w:szCs w:val="24"/>
          <w:lang w:eastAsia="es-CL"/>
        </w:rPr>
        <w:t xml:space="preserve">por negligente ejercicio de la actividad profesional presupone la prueba del daño y del nexo causal, que en el caso que nos ocupa está suficientemente acreditado, pues </w:t>
      </w:r>
      <w:r w:rsidRPr="003E1424">
        <w:rPr>
          <w:rFonts w:cs="Times New Roman"/>
          <w:sz w:val="24"/>
          <w:szCs w:val="24"/>
          <w:lang w:eastAsia="es-CL"/>
        </w:rPr>
        <w:t xml:space="preserve">por ignorancia de disposiciones de </w:t>
      </w:r>
      <w:r>
        <w:rPr>
          <w:rFonts w:cs="Times New Roman"/>
          <w:sz w:val="24"/>
          <w:szCs w:val="24"/>
          <w:lang w:eastAsia="es-CL"/>
        </w:rPr>
        <w:t xml:space="preserve">una </w:t>
      </w:r>
      <w:r w:rsidRPr="003E1424">
        <w:rPr>
          <w:rFonts w:cs="Times New Roman"/>
          <w:sz w:val="24"/>
          <w:szCs w:val="24"/>
          <w:lang w:eastAsia="es-CL"/>
        </w:rPr>
        <w:t>ley</w:t>
      </w:r>
      <w:r w:rsidR="00D66CE8" w:rsidRPr="003E1424">
        <w:rPr>
          <w:rFonts w:cs="Times New Roman"/>
          <w:sz w:val="24"/>
          <w:szCs w:val="24"/>
          <w:lang w:eastAsia="es-CL"/>
        </w:rPr>
        <w:t xml:space="preserve"> que debe ser profundamente conocida por la directora jurídica, ya que </w:t>
      </w:r>
      <w:r w:rsidR="00D53845" w:rsidRPr="003E1424">
        <w:rPr>
          <w:rFonts w:cs="Times New Roman"/>
          <w:sz w:val="24"/>
          <w:szCs w:val="24"/>
          <w:lang w:eastAsia="es-CL"/>
        </w:rPr>
        <w:t>se trata n</w:t>
      </w:r>
      <w:r w:rsidR="00B65738" w:rsidRPr="003E1424">
        <w:rPr>
          <w:rFonts w:cs="Times New Roman"/>
          <w:sz w:val="24"/>
          <w:szCs w:val="24"/>
          <w:lang w:eastAsia="es-CL"/>
        </w:rPr>
        <w:t>ada</w:t>
      </w:r>
      <w:r w:rsidR="00D53845" w:rsidRPr="003E1424">
        <w:rPr>
          <w:rFonts w:cs="Times New Roman"/>
          <w:sz w:val="24"/>
          <w:szCs w:val="24"/>
          <w:lang w:eastAsia="es-CL"/>
        </w:rPr>
        <w:t xml:space="preserve"> menos que de</w:t>
      </w:r>
      <w:r w:rsidR="00D66CE8" w:rsidRPr="003E1424">
        <w:rPr>
          <w:rFonts w:cs="Times New Roman"/>
          <w:sz w:val="24"/>
          <w:szCs w:val="24"/>
          <w:lang w:eastAsia="es-CL"/>
        </w:rPr>
        <w:t xml:space="preserve"> la ley más importante para la gestión municipal (</w:t>
      </w:r>
      <w:r w:rsidR="00D53845" w:rsidRPr="003E1424">
        <w:rPr>
          <w:rFonts w:cs="Times New Roman"/>
          <w:sz w:val="24"/>
          <w:szCs w:val="24"/>
          <w:lang w:eastAsia="es-CL"/>
        </w:rPr>
        <w:t xml:space="preserve">Ley N° 18.695, </w:t>
      </w:r>
      <w:r w:rsidR="00D66CE8" w:rsidRPr="003E1424">
        <w:rPr>
          <w:rFonts w:cs="Times New Roman"/>
          <w:sz w:val="24"/>
          <w:szCs w:val="24"/>
          <w:lang w:eastAsia="es-CL"/>
        </w:rPr>
        <w:t xml:space="preserve">Orgánica de Municipalidades), generó para la municipalidad la pérdida de $50 millones. En este caso se prueba el daño con la pérdida </w:t>
      </w:r>
      <w:r>
        <w:rPr>
          <w:rFonts w:cs="Times New Roman"/>
          <w:sz w:val="24"/>
          <w:szCs w:val="24"/>
          <w:lang w:eastAsia="es-CL"/>
        </w:rPr>
        <w:t xml:space="preserve">efectiva </w:t>
      </w:r>
      <w:r w:rsidR="00D66CE8" w:rsidRPr="003E1424">
        <w:rPr>
          <w:rFonts w:cs="Times New Roman"/>
          <w:sz w:val="24"/>
          <w:szCs w:val="24"/>
          <w:lang w:eastAsia="es-CL"/>
        </w:rPr>
        <w:t>de recursos municipales</w:t>
      </w:r>
      <w:r>
        <w:rPr>
          <w:rFonts w:cs="Times New Roman"/>
          <w:sz w:val="24"/>
          <w:szCs w:val="24"/>
          <w:lang w:eastAsia="es-CL"/>
        </w:rPr>
        <w:t>,</w:t>
      </w:r>
      <w:r w:rsidR="00D66CE8" w:rsidRPr="003E1424">
        <w:rPr>
          <w:rFonts w:cs="Times New Roman"/>
          <w:sz w:val="24"/>
          <w:szCs w:val="24"/>
          <w:lang w:eastAsia="es-CL"/>
        </w:rPr>
        <w:t xml:space="preserve"> y que éste ha sido causado por la </w:t>
      </w:r>
      <w:r w:rsidRPr="003E1424">
        <w:rPr>
          <w:rFonts w:cs="Times New Roman"/>
          <w:sz w:val="24"/>
          <w:szCs w:val="24"/>
          <w:lang w:eastAsia="es-CL"/>
        </w:rPr>
        <w:t xml:space="preserve">negligencia e impericia </w:t>
      </w:r>
      <w:r>
        <w:rPr>
          <w:rFonts w:cs="Times New Roman"/>
          <w:sz w:val="24"/>
          <w:szCs w:val="24"/>
          <w:lang w:eastAsia="es-CL"/>
        </w:rPr>
        <w:t xml:space="preserve">de la </w:t>
      </w:r>
      <w:r w:rsidR="00D66CE8" w:rsidRPr="003E1424">
        <w:rPr>
          <w:rFonts w:cs="Times New Roman"/>
          <w:sz w:val="24"/>
          <w:szCs w:val="24"/>
          <w:lang w:eastAsia="es-CL"/>
        </w:rPr>
        <w:t xml:space="preserve">actividad de la profesional. </w:t>
      </w:r>
    </w:p>
    <w:p w14:paraId="7633B075" w14:textId="77777777" w:rsidR="00D66CE8" w:rsidRPr="003E1424" w:rsidRDefault="00D66CE8" w:rsidP="00D66CE8">
      <w:pPr>
        <w:widowControl w:val="0"/>
        <w:autoSpaceDE w:val="0"/>
        <w:autoSpaceDN w:val="0"/>
        <w:spacing w:after="0" w:line="240" w:lineRule="auto"/>
        <w:ind w:left="108" w:right="123"/>
        <w:rPr>
          <w:rFonts w:cstheme="minorHAnsi"/>
          <w:sz w:val="24"/>
          <w:szCs w:val="24"/>
          <w:lang w:eastAsia="es-CL"/>
        </w:rPr>
      </w:pPr>
    </w:p>
    <w:p w14:paraId="380574E3" w14:textId="35FC2645" w:rsidR="00D66CE8" w:rsidRPr="003E1424" w:rsidRDefault="00D66CE8" w:rsidP="002B114A">
      <w:pPr>
        <w:widowControl w:val="0"/>
        <w:autoSpaceDE w:val="0"/>
        <w:autoSpaceDN w:val="0"/>
        <w:spacing w:after="0" w:line="240" w:lineRule="auto"/>
        <w:ind w:right="123" w:firstLine="720"/>
        <w:rPr>
          <w:rFonts w:cs="Times New Roman"/>
          <w:sz w:val="24"/>
          <w:szCs w:val="24"/>
          <w:lang w:eastAsia="es-CL"/>
        </w:rPr>
      </w:pPr>
      <w:r w:rsidRPr="003E1424">
        <w:rPr>
          <w:rFonts w:cs="Times New Roman"/>
          <w:sz w:val="24"/>
          <w:szCs w:val="24"/>
          <w:lang w:eastAsia="es-CL"/>
        </w:rPr>
        <w:t>Esta relación de causalidad subsiste en la medida que el decreto alcaldicio N° 4.409 de fecha 6 de julio de 2021, es un antecedente lógico del hecho dañoso. Y además dicho decreto no se dictó ni se verificó con base en circunstancias excepcionales</w:t>
      </w:r>
      <w:r w:rsidR="00197CD6" w:rsidRPr="003E1424">
        <w:rPr>
          <w:rFonts w:cs="Times New Roman"/>
          <w:sz w:val="24"/>
          <w:szCs w:val="24"/>
          <w:lang w:eastAsia="es-CL"/>
        </w:rPr>
        <w:t>, imposibles de prever</w:t>
      </w:r>
      <w:r w:rsidR="003E1424" w:rsidRPr="003E1424">
        <w:rPr>
          <w:rFonts w:cs="Times New Roman"/>
          <w:sz w:val="24"/>
          <w:szCs w:val="24"/>
          <w:lang w:eastAsia="es-CL"/>
        </w:rPr>
        <w:t xml:space="preserve"> o que, de haber sido previstas, no eran posible evitar. Por lo tanto, no existe tampoco </w:t>
      </w:r>
      <w:r w:rsidR="002B114A">
        <w:rPr>
          <w:rFonts w:cs="Times New Roman"/>
          <w:sz w:val="24"/>
          <w:szCs w:val="24"/>
          <w:lang w:eastAsia="es-CL"/>
        </w:rPr>
        <w:t xml:space="preserve">por esa vía </w:t>
      </w:r>
      <w:r w:rsidR="003E1424" w:rsidRPr="003E1424">
        <w:rPr>
          <w:rFonts w:cs="Times New Roman"/>
          <w:sz w:val="24"/>
          <w:szCs w:val="24"/>
          <w:lang w:eastAsia="es-CL"/>
        </w:rPr>
        <w:t>una causal de exclusión de responsabilidad de la directora jurídica.</w:t>
      </w:r>
      <w:r w:rsidRPr="003E1424">
        <w:rPr>
          <w:rFonts w:cs="Times New Roman"/>
          <w:sz w:val="24"/>
          <w:szCs w:val="24"/>
          <w:lang w:eastAsia="es-CL"/>
        </w:rPr>
        <w:t xml:space="preserve"> </w:t>
      </w:r>
    </w:p>
    <w:p w14:paraId="05DCECF2" w14:textId="77777777" w:rsidR="002B114A" w:rsidRDefault="002B114A" w:rsidP="002B114A">
      <w:pPr>
        <w:tabs>
          <w:tab w:val="left" w:pos="993"/>
        </w:tabs>
        <w:spacing w:after="0" w:line="240" w:lineRule="auto"/>
        <w:rPr>
          <w:color w:val="FF0000"/>
          <w:sz w:val="24"/>
          <w:szCs w:val="24"/>
        </w:rPr>
      </w:pPr>
    </w:p>
    <w:p w14:paraId="4D85F15E" w14:textId="6CAC3358" w:rsidR="002B114A" w:rsidRPr="009D248D" w:rsidRDefault="002B114A" w:rsidP="002B114A">
      <w:pPr>
        <w:pStyle w:val="Prrafodelista"/>
        <w:numPr>
          <w:ilvl w:val="0"/>
          <w:numId w:val="16"/>
        </w:numPr>
        <w:tabs>
          <w:tab w:val="left" w:pos="993"/>
        </w:tabs>
        <w:spacing w:after="0" w:line="240" w:lineRule="auto"/>
        <w:ind w:left="0" w:firstLine="709"/>
        <w:rPr>
          <w:rFonts w:cs="Times New Roman"/>
          <w:sz w:val="24"/>
          <w:szCs w:val="24"/>
          <w:lang w:eastAsia="es-CL"/>
        </w:rPr>
      </w:pPr>
      <w:r w:rsidRPr="009D248D">
        <w:rPr>
          <w:sz w:val="24"/>
          <w:szCs w:val="24"/>
        </w:rPr>
        <w:t xml:space="preserve">Como puede concluirse, la ignorancia de </w:t>
      </w:r>
      <w:r w:rsidR="006D635C" w:rsidRPr="009D248D">
        <w:rPr>
          <w:sz w:val="24"/>
          <w:szCs w:val="24"/>
        </w:rPr>
        <w:t xml:space="preserve">las normas de </w:t>
      </w:r>
      <w:r w:rsidRPr="009D248D">
        <w:rPr>
          <w:sz w:val="24"/>
          <w:szCs w:val="24"/>
        </w:rPr>
        <w:t xml:space="preserve">una ley que debe ser </w:t>
      </w:r>
      <w:r w:rsidR="009D248D" w:rsidRPr="009D248D">
        <w:rPr>
          <w:sz w:val="24"/>
          <w:szCs w:val="24"/>
        </w:rPr>
        <w:t>profunda</w:t>
      </w:r>
      <w:r w:rsidR="006D635C" w:rsidRPr="009D248D">
        <w:rPr>
          <w:sz w:val="24"/>
          <w:szCs w:val="24"/>
        </w:rPr>
        <w:t xml:space="preserve">mente </w:t>
      </w:r>
      <w:r w:rsidRPr="009D248D">
        <w:rPr>
          <w:sz w:val="24"/>
          <w:szCs w:val="24"/>
        </w:rPr>
        <w:t xml:space="preserve">conocida </w:t>
      </w:r>
      <w:r w:rsidR="006D635C" w:rsidRPr="009D248D">
        <w:rPr>
          <w:sz w:val="24"/>
          <w:szCs w:val="24"/>
        </w:rPr>
        <w:t xml:space="preserve">por la directora jurídica </w:t>
      </w:r>
      <w:r w:rsidRPr="009D248D">
        <w:rPr>
          <w:sz w:val="24"/>
          <w:szCs w:val="24"/>
        </w:rPr>
        <w:t>y una errada interpretación de la</w:t>
      </w:r>
      <w:r w:rsidR="006D635C" w:rsidRPr="009D248D">
        <w:rPr>
          <w:sz w:val="24"/>
          <w:szCs w:val="24"/>
        </w:rPr>
        <w:t>s</w:t>
      </w:r>
      <w:r w:rsidRPr="009D248D">
        <w:rPr>
          <w:sz w:val="24"/>
          <w:szCs w:val="24"/>
        </w:rPr>
        <w:t xml:space="preserve"> misma</w:t>
      </w:r>
      <w:r w:rsidR="006D635C" w:rsidRPr="009D248D">
        <w:rPr>
          <w:sz w:val="24"/>
          <w:szCs w:val="24"/>
        </w:rPr>
        <w:t>s</w:t>
      </w:r>
      <w:r w:rsidR="009D248D" w:rsidRPr="009D248D">
        <w:rPr>
          <w:sz w:val="24"/>
          <w:szCs w:val="24"/>
        </w:rPr>
        <w:t xml:space="preserve">, implicó para </w:t>
      </w:r>
      <w:r w:rsidRPr="009D248D">
        <w:rPr>
          <w:sz w:val="24"/>
          <w:szCs w:val="24"/>
        </w:rPr>
        <w:t xml:space="preserve">el municipio </w:t>
      </w:r>
      <w:r w:rsidR="009D248D" w:rsidRPr="009D248D">
        <w:rPr>
          <w:rFonts w:cstheme="minorHAnsi"/>
          <w:sz w:val="24"/>
          <w:szCs w:val="24"/>
          <w:lang w:eastAsia="es-CL"/>
        </w:rPr>
        <w:t>una situación dañosa, como es</w:t>
      </w:r>
      <w:r w:rsidR="009D248D" w:rsidRPr="009D248D">
        <w:rPr>
          <w:sz w:val="24"/>
          <w:szCs w:val="24"/>
        </w:rPr>
        <w:t xml:space="preserve"> </w:t>
      </w:r>
      <w:r w:rsidRPr="009D248D">
        <w:rPr>
          <w:sz w:val="24"/>
          <w:szCs w:val="24"/>
        </w:rPr>
        <w:t xml:space="preserve">la </w:t>
      </w:r>
      <w:r w:rsidRPr="009D248D">
        <w:rPr>
          <w:b/>
          <w:bCs/>
          <w:sz w:val="24"/>
          <w:szCs w:val="24"/>
        </w:rPr>
        <w:t>pérdida de $50 millones de pesos</w:t>
      </w:r>
      <w:r w:rsidRPr="009D248D">
        <w:rPr>
          <w:sz w:val="24"/>
          <w:szCs w:val="24"/>
        </w:rPr>
        <w:t xml:space="preserve">, y eso es algo que </w:t>
      </w:r>
      <w:r w:rsidR="009D248D" w:rsidRPr="009D248D">
        <w:rPr>
          <w:sz w:val="24"/>
          <w:szCs w:val="24"/>
        </w:rPr>
        <w:t xml:space="preserve">debe ser investigado de manera muy rigurosa. Por lo mismo </w:t>
      </w:r>
      <w:r w:rsidRPr="009D248D">
        <w:rPr>
          <w:sz w:val="24"/>
          <w:szCs w:val="24"/>
        </w:rPr>
        <w:t xml:space="preserve">solicito </w:t>
      </w:r>
      <w:r w:rsidR="009D248D">
        <w:rPr>
          <w:sz w:val="24"/>
          <w:szCs w:val="24"/>
        </w:rPr>
        <w:t xml:space="preserve">a usted </w:t>
      </w:r>
      <w:r w:rsidRPr="009D248D">
        <w:rPr>
          <w:sz w:val="24"/>
          <w:szCs w:val="24"/>
        </w:rPr>
        <w:t xml:space="preserve">incoar un </w:t>
      </w:r>
      <w:r w:rsidRPr="009D248D">
        <w:rPr>
          <w:b/>
          <w:bCs/>
          <w:sz w:val="24"/>
          <w:szCs w:val="24"/>
        </w:rPr>
        <w:t>sumario administrativo</w:t>
      </w:r>
      <w:r w:rsidRPr="009D248D">
        <w:rPr>
          <w:sz w:val="24"/>
          <w:szCs w:val="24"/>
        </w:rPr>
        <w:t xml:space="preserve"> en contra de la directora jurídica del municipio por su eventual responsabilidad en la pérdida de estos recursos municipales.</w:t>
      </w:r>
    </w:p>
    <w:p w14:paraId="49D14B38" w14:textId="77777777" w:rsidR="00300DE1" w:rsidRPr="003E1424" w:rsidRDefault="00300DE1" w:rsidP="00144F44">
      <w:pPr>
        <w:spacing w:after="0" w:line="240" w:lineRule="auto"/>
        <w:ind w:firstLine="708"/>
        <w:rPr>
          <w:rFonts w:cstheme="minorHAnsi"/>
          <w:sz w:val="24"/>
          <w:szCs w:val="24"/>
          <w:lang w:eastAsia="es-CL"/>
        </w:rPr>
      </w:pPr>
    </w:p>
    <w:p w14:paraId="7BDF9C8E" w14:textId="2DD54EAF" w:rsidR="00644273" w:rsidRPr="00870B80" w:rsidRDefault="00644273" w:rsidP="00144F44">
      <w:pPr>
        <w:spacing w:after="0" w:line="240" w:lineRule="auto"/>
        <w:ind w:firstLine="708"/>
        <w:rPr>
          <w:sz w:val="24"/>
          <w:szCs w:val="24"/>
          <w:lang w:val="es-ES"/>
        </w:rPr>
      </w:pPr>
    </w:p>
    <w:p w14:paraId="1A201F1A" w14:textId="77777777" w:rsidR="006453FA" w:rsidRPr="00870B80" w:rsidRDefault="006453FA" w:rsidP="00644273">
      <w:pPr>
        <w:spacing w:after="0" w:line="240" w:lineRule="auto"/>
        <w:ind w:firstLine="708"/>
        <w:rPr>
          <w:sz w:val="24"/>
          <w:szCs w:val="24"/>
          <w:lang w:val="es-ES"/>
        </w:rPr>
      </w:pPr>
    </w:p>
    <w:p w14:paraId="4C85F968" w14:textId="77777777" w:rsidR="00644273" w:rsidRPr="00870B80" w:rsidRDefault="00644273" w:rsidP="00644273">
      <w:pPr>
        <w:spacing w:after="0" w:line="240" w:lineRule="auto"/>
        <w:jc w:val="center"/>
        <w:rPr>
          <w:sz w:val="24"/>
          <w:szCs w:val="24"/>
          <w:lang w:val="es-ES"/>
        </w:rPr>
      </w:pPr>
      <w:r w:rsidRPr="00870B80">
        <w:rPr>
          <w:sz w:val="24"/>
          <w:szCs w:val="24"/>
          <w:lang w:val="es-ES"/>
        </w:rPr>
        <w:t>RENÉ LUES ESCOBAR</w:t>
      </w:r>
    </w:p>
    <w:p w14:paraId="4ABDF481" w14:textId="77777777" w:rsidR="00644273" w:rsidRPr="00870B80" w:rsidRDefault="00644273" w:rsidP="00644273">
      <w:pPr>
        <w:spacing w:after="0" w:line="240" w:lineRule="auto"/>
        <w:jc w:val="center"/>
        <w:rPr>
          <w:sz w:val="24"/>
          <w:szCs w:val="24"/>
          <w:lang w:val="es-ES"/>
        </w:rPr>
      </w:pPr>
      <w:r w:rsidRPr="00870B80">
        <w:rPr>
          <w:sz w:val="24"/>
          <w:szCs w:val="24"/>
          <w:lang w:val="es-ES"/>
        </w:rPr>
        <w:t>CONCEJAL</w:t>
      </w:r>
    </w:p>
    <w:p w14:paraId="7459DE03" w14:textId="77777777" w:rsidR="00644273" w:rsidRDefault="00644273" w:rsidP="00A865C7">
      <w:pPr>
        <w:spacing w:after="0" w:line="240" w:lineRule="auto"/>
        <w:jc w:val="right"/>
        <w:rPr>
          <w:sz w:val="24"/>
          <w:szCs w:val="24"/>
          <w:lang w:val="es-ES"/>
        </w:rPr>
      </w:pPr>
    </w:p>
    <w:p w14:paraId="5FB82A88" w14:textId="49E22DF7" w:rsidR="00A865C7" w:rsidRDefault="00A865C7" w:rsidP="00A865C7">
      <w:pPr>
        <w:spacing w:after="0" w:line="240" w:lineRule="auto"/>
        <w:jc w:val="right"/>
        <w:rPr>
          <w:sz w:val="24"/>
          <w:szCs w:val="24"/>
          <w:lang w:val="es-ES"/>
        </w:rPr>
      </w:pPr>
      <w:r>
        <w:rPr>
          <w:sz w:val="24"/>
          <w:szCs w:val="24"/>
          <w:lang w:val="es-ES"/>
        </w:rPr>
        <w:t>Viña de Mar, abril 18 de 2023.-</w:t>
      </w:r>
      <w:bookmarkEnd w:id="0"/>
      <w:bookmarkEnd w:id="1"/>
    </w:p>
    <w:sectPr w:rsidR="00A865C7" w:rsidSect="00C44D4E">
      <w:pgSz w:w="12240" w:h="20160" w:code="5"/>
      <w:pgMar w:top="1417" w:right="175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5E2"/>
    <w:multiLevelType w:val="hybridMultilevel"/>
    <w:tmpl w:val="25882D5A"/>
    <w:lvl w:ilvl="0" w:tplc="4F4803E0">
      <w:start w:val="1"/>
      <w:numFmt w:val="decimal"/>
      <w:lvlText w:val="%1."/>
      <w:lvlJc w:val="left"/>
      <w:pPr>
        <w:ind w:left="360" w:hanging="360"/>
      </w:pPr>
      <w:rPr>
        <w:rFonts w:ascii="Calibri" w:eastAsia="Calibri" w:hAnsi="Calibri" w:cs="Calibr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437482F"/>
    <w:multiLevelType w:val="hybridMultilevel"/>
    <w:tmpl w:val="BD68C2DC"/>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267A38"/>
    <w:multiLevelType w:val="hybridMultilevel"/>
    <w:tmpl w:val="BE126A9E"/>
    <w:lvl w:ilvl="0" w:tplc="A28665B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25991EF1"/>
    <w:multiLevelType w:val="hybridMultilevel"/>
    <w:tmpl w:val="CBDEC154"/>
    <w:lvl w:ilvl="0" w:tplc="5900E5F6">
      <w:start w:val="1"/>
      <w:numFmt w:val="decimal"/>
      <w:lvlText w:val="%1."/>
      <w:lvlJc w:val="left"/>
      <w:pPr>
        <w:ind w:left="1068" w:hanging="360"/>
      </w:pPr>
      <w:rPr>
        <w:rFonts w:asciiTheme="minorHAnsi" w:eastAsiaTheme="minorEastAsia" w:hAnsiTheme="minorHAnsi" w:cstheme="minorBidi"/>
        <w:b w:val="0"/>
        <w:sz w:val="22"/>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26F074DD"/>
    <w:multiLevelType w:val="hybridMultilevel"/>
    <w:tmpl w:val="FFFFFFFF"/>
    <w:lvl w:ilvl="0" w:tplc="543E684E">
      <w:start w:val="1"/>
      <w:numFmt w:val="decimal"/>
      <w:lvlText w:val="%1."/>
      <w:lvlJc w:val="left"/>
      <w:pPr>
        <w:ind w:left="1068" w:hanging="360"/>
      </w:pPr>
      <w:rPr>
        <w:rFonts w:asciiTheme="minorHAnsi" w:hAnsiTheme="minorHAnsi" w:cs="Times New Roman" w:hint="default"/>
        <w:w w:val="100"/>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5" w15:restartNumberingAfterBreak="0">
    <w:nsid w:val="3F3E7B58"/>
    <w:multiLevelType w:val="hybridMultilevel"/>
    <w:tmpl w:val="2FD2D6C2"/>
    <w:lvl w:ilvl="0" w:tplc="43905AA0">
      <w:numFmt w:val="bullet"/>
      <w:lvlText w:val="-"/>
      <w:lvlJc w:val="left"/>
      <w:pPr>
        <w:ind w:left="1068" w:hanging="360"/>
      </w:pPr>
      <w:rPr>
        <w:rFonts w:ascii="Calibri" w:eastAsiaTheme="minorEastAsia"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43CB7EC4"/>
    <w:multiLevelType w:val="hybridMultilevel"/>
    <w:tmpl w:val="FFFFFFFF"/>
    <w:lvl w:ilvl="0" w:tplc="FFFFFFFF">
      <w:start w:val="1"/>
      <w:numFmt w:val="decimal"/>
      <w:lvlText w:val="%1."/>
      <w:lvlJc w:val="left"/>
      <w:pPr>
        <w:ind w:left="1068" w:hanging="360"/>
      </w:pPr>
      <w:rPr>
        <w:rFonts w:asciiTheme="minorHAnsi" w:hAnsiTheme="minorHAnsi" w:cs="Times New Roman" w:hint="default"/>
        <w:w w:val="100"/>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7" w15:restartNumberingAfterBreak="0">
    <w:nsid w:val="45017A1A"/>
    <w:multiLevelType w:val="hybridMultilevel"/>
    <w:tmpl w:val="CB4805C0"/>
    <w:lvl w:ilvl="0" w:tplc="9A52C74C">
      <w:start w:val="1"/>
      <w:numFmt w:val="decimal"/>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8" w15:restartNumberingAfterBreak="0">
    <w:nsid w:val="5009359A"/>
    <w:multiLevelType w:val="hybridMultilevel"/>
    <w:tmpl w:val="CD388C74"/>
    <w:lvl w:ilvl="0" w:tplc="CA32916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51DD3F09"/>
    <w:multiLevelType w:val="hybridMultilevel"/>
    <w:tmpl w:val="41C4536A"/>
    <w:lvl w:ilvl="0" w:tplc="775CAA4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52F9737F"/>
    <w:multiLevelType w:val="hybridMultilevel"/>
    <w:tmpl w:val="B4385918"/>
    <w:lvl w:ilvl="0" w:tplc="26D40FA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15:restartNumberingAfterBreak="0">
    <w:nsid w:val="64A973DD"/>
    <w:multiLevelType w:val="hybridMultilevel"/>
    <w:tmpl w:val="67FA5076"/>
    <w:lvl w:ilvl="0" w:tplc="FC9EBC0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693A1D29"/>
    <w:multiLevelType w:val="hybridMultilevel"/>
    <w:tmpl w:val="90A82698"/>
    <w:lvl w:ilvl="0" w:tplc="DC24F81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6A103AD6"/>
    <w:multiLevelType w:val="hybridMultilevel"/>
    <w:tmpl w:val="68FE6540"/>
    <w:lvl w:ilvl="0" w:tplc="CA22F0E6">
      <w:start w:val="1"/>
      <w:numFmt w:val="decimal"/>
      <w:lvlText w:val="%1."/>
      <w:lvlJc w:val="left"/>
      <w:pPr>
        <w:ind w:left="828" w:hanging="360"/>
      </w:pPr>
      <w:rPr>
        <w:rFonts w:asciiTheme="minorHAnsi" w:eastAsiaTheme="minorEastAsia" w:hAnsiTheme="minorHAnsi" w:cstheme="minorBidi"/>
        <w:w w:val="100"/>
        <w:sz w:val="24"/>
        <w:szCs w:val="24"/>
        <w:lang w:val="es-ES" w:eastAsia="en-US" w:bidi="ar-SA"/>
      </w:rPr>
    </w:lvl>
    <w:lvl w:ilvl="1" w:tplc="445C0D0E">
      <w:numFmt w:val="bullet"/>
      <w:lvlText w:val="•"/>
      <w:lvlJc w:val="left"/>
      <w:pPr>
        <w:ind w:left="1610" w:hanging="360"/>
      </w:pPr>
      <w:rPr>
        <w:rFonts w:hint="default"/>
        <w:lang w:val="es-ES" w:eastAsia="en-US" w:bidi="ar-SA"/>
      </w:rPr>
    </w:lvl>
    <w:lvl w:ilvl="2" w:tplc="19E0EA8E">
      <w:numFmt w:val="bullet"/>
      <w:lvlText w:val="•"/>
      <w:lvlJc w:val="left"/>
      <w:pPr>
        <w:ind w:left="2400" w:hanging="360"/>
      </w:pPr>
      <w:rPr>
        <w:rFonts w:hint="default"/>
        <w:lang w:val="es-ES" w:eastAsia="en-US" w:bidi="ar-SA"/>
      </w:rPr>
    </w:lvl>
    <w:lvl w:ilvl="3" w:tplc="FDB47170">
      <w:numFmt w:val="bullet"/>
      <w:lvlText w:val="•"/>
      <w:lvlJc w:val="left"/>
      <w:pPr>
        <w:ind w:left="3191" w:hanging="360"/>
      </w:pPr>
      <w:rPr>
        <w:rFonts w:hint="default"/>
        <w:lang w:val="es-ES" w:eastAsia="en-US" w:bidi="ar-SA"/>
      </w:rPr>
    </w:lvl>
    <w:lvl w:ilvl="4" w:tplc="5CF0C5DA">
      <w:numFmt w:val="bullet"/>
      <w:lvlText w:val="•"/>
      <w:lvlJc w:val="left"/>
      <w:pPr>
        <w:ind w:left="3981" w:hanging="360"/>
      </w:pPr>
      <w:rPr>
        <w:rFonts w:hint="default"/>
        <w:lang w:val="es-ES" w:eastAsia="en-US" w:bidi="ar-SA"/>
      </w:rPr>
    </w:lvl>
    <w:lvl w:ilvl="5" w:tplc="E14CC324">
      <w:numFmt w:val="bullet"/>
      <w:lvlText w:val="•"/>
      <w:lvlJc w:val="left"/>
      <w:pPr>
        <w:ind w:left="4772" w:hanging="360"/>
      </w:pPr>
      <w:rPr>
        <w:rFonts w:hint="default"/>
        <w:lang w:val="es-ES" w:eastAsia="en-US" w:bidi="ar-SA"/>
      </w:rPr>
    </w:lvl>
    <w:lvl w:ilvl="6" w:tplc="F70E898E">
      <w:numFmt w:val="bullet"/>
      <w:lvlText w:val="•"/>
      <w:lvlJc w:val="left"/>
      <w:pPr>
        <w:ind w:left="5562" w:hanging="360"/>
      </w:pPr>
      <w:rPr>
        <w:rFonts w:hint="default"/>
        <w:lang w:val="es-ES" w:eastAsia="en-US" w:bidi="ar-SA"/>
      </w:rPr>
    </w:lvl>
    <w:lvl w:ilvl="7" w:tplc="90E29086">
      <w:numFmt w:val="bullet"/>
      <w:lvlText w:val="•"/>
      <w:lvlJc w:val="left"/>
      <w:pPr>
        <w:ind w:left="6352" w:hanging="360"/>
      </w:pPr>
      <w:rPr>
        <w:rFonts w:hint="default"/>
        <w:lang w:val="es-ES" w:eastAsia="en-US" w:bidi="ar-SA"/>
      </w:rPr>
    </w:lvl>
    <w:lvl w:ilvl="8" w:tplc="CB0294CA">
      <w:numFmt w:val="bullet"/>
      <w:lvlText w:val="•"/>
      <w:lvlJc w:val="left"/>
      <w:pPr>
        <w:ind w:left="7143" w:hanging="360"/>
      </w:pPr>
      <w:rPr>
        <w:rFonts w:hint="default"/>
        <w:lang w:val="es-ES" w:eastAsia="en-US" w:bidi="ar-SA"/>
      </w:rPr>
    </w:lvl>
  </w:abstractNum>
  <w:abstractNum w:abstractNumId="14" w15:restartNumberingAfterBreak="0">
    <w:nsid w:val="6C1C4CEE"/>
    <w:multiLevelType w:val="hybridMultilevel"/>
    <w:tmpl w:val="AF82B5F4"/>
    <w:lvl w:ilvl="0" w:tplc="EF040F02">
      <w:start w:val="1"/>
      <w:numFmt w:val="decimal"/>
      <w:lvlText w:val="%1."/>
      <w:lvlJc w:val="left"/>
      <w:pPr>
        <w:ind w:left="720" w:hanging="360"/>
      </w:pPr>
      <w:rPr>
        <w:rFonts w:asciiTheme="minorHAnsi" w:hAnsiTheme="minorHAnsi" w:cstheme="minorHAnsi" w:hint="default"/>
        <w:b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C7B6D08"/>
    <w:multiLevelType w:val="hybridMultilevel"/>
    <w:tmpl w:val="A1142918"/>
    <w:lvl w:ilvl="0" w:tplc="752A383C">
      <w:start w:val="17"/>
      <w:numFmt w:val="decimal"/>
      <w:lvlText w:val="%1."/>
      <w:lvlJc w:val="left"/>
      <w:pPr>
        <w:ind w:left="1068" w:hanging="360"/>
      </w:pPr>
      <w:rPr>
        <w:rFonts w:cstheme="minorBidi" w:hint="default"/>
        <w:b w:val="0"/>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16cid:durableId="1439912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170661">
    <w:abstractNumId w:val="9"/>
  </w:num>
  <w:num w:numId="3" w16cid:durableId="1342898847">
    <w:abstractNumId w:val="14"/>
  </w:num>
  <w:num w:numId="4" w16cid:durableId="1877964545">
    <w:abstractNumId w:val="12"/>
  </w:num>
  <w:num w:numId="5" w16cid:durableId="183059160">
    <w:abstractNumId w:val="0"/>
  </w:num>
  <w:num w:numId="6" w16cid:durableId="901326191">
    <w:abstractNumId w:val="10"/>
  </w:num>
  <w:num w:numId="7" w16cid:durableId="1986279581">
    <w:abstractNumId w:val="5"/>
  </w:num>
  <w:num w:numId="8" w16cid:durableId="660041848">
    <w:abstractNumId w:val="11"/>
  </w:num>
  <w:num w:numId="9" w16cid:durableId="421607419">
    <w:abstractNumId w:val="2"/>
  </w:num>
  <w:num w:numId="10" w16cid:durableId="886835061">
    <w:abstractNumId w:val="13"/>
  </w:num>
  <w:num w:numId="11" w16cid:durableId="1818304589">
    <w:abstractNumId w:val="3"/>
  </w:num>
  <w:num w:numId="12" w16cid:durableId="1311135518">
    <w:abstractNumId w:val="8"/>
  </w:num>
  <w:num w:numId="13" w16cid:durableId="2047173846">
    <w:abstractNumId w:val="15"/>
  </w:num>
  <w:num w:numId="14" w16cid:durableId="2086567027">
    <w:abstractNumId w:val="4"/>
  </w:num>
  <w:num w:numId="15" w16cid:durableId="128941143">
    <w:abstractNumId w:val="6"/>
  </w:num>
  <w:num w:numId="16" w16cid:durableId="202011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C"/>
    <w:rsid w:val="00031FAC"/>
    <w:rsid w:val="00050AB8"/>
    <w:rsid w:val="00086F04"/>
    <w:rsid w:val="000E039F"/>
    <w:rsid w:val="000E5E60"/>
    <w:rsid w:val="001076A8"/>
    <w:rsid w:val="0012799F"/>
    <w:rsid w:val="00141D4F"/>
    <w:rsid w:val="00144F44"/>
    <w:rsid w:val="0015419E"/>
    <w:rsid w:val="001575A2"/>
    <w:rsid w:val="00160EB8"/>
    <w:rsid w:val="00173064"/>
    <w:rsid w:val="00197CD6"/>
    <w:rsid w:val="001D399B"/>
    <w:rsid w:val="001D6979"/>
    <w:rsid w:val="001F3CBC"/>
    <w:rsid w:val="00236655"/>
    <w:rsid w:val="00283822"/>
    <w:rsid w:val="002B114A"/>
    <w:rsid w:val="002B7767"/>
    <w:rsid w:val="002C2389"/>
    <w:rsid w:val="002E440B"/>
    <w:rsid w:val="002F345B"/>
    <w:rsid w:val="00300DE1"/>
    <w:rsid w:val="00315348"/>
    <w:rsid w:val="00322D27"/>
    <w:rsid w:val="003755FB"/>
    <w:rsid w:val="00375AC5"/>
    <w:rsid w:val="003B4417"/>
    <w:rsid w:val="003D0616"/>
    <w:rsid w:val="003E1424"/>
    <w:rsid w:val="003F7229"/>
    <w:rsid w:val="00434570"/>
    <w:rsid w:val="004607C6"/>
    <w:rsid w:val="004679FB"/>
    <w:rsid w:val="00496AC8"/>
    <w:rsid w:val="004A62E0"/>
    <w:rsid w:val="004D55DB"/>
    <w:rsid w:val="00501372"/>
    <w:rsid w:val="00551D39"/>
    <w:rsid w:val="00574559"/>
    <w:rsid w:val="00580F8E"/>
    <w:rsid w:val="00581670"/>
    <w:rsid w:val="005C729B"/>
    <w:rsid w:val="005E2D88"/>
    <w:rsid w:val="00624156"/>
    <w:rsid w:val="00644273"/>
    <w:rsid w:val="006453FA"/>
    <w:rsid w:val="00671A9C"/>
    <w:rsid w:val="006B2071"/>
    <w:rsid w:val="006C233D"/>
    <w:rsid w:val="006C6010"/>
    <w:rsid w:val="006D635C"/>
    <w:rsid w:val="007045DE"/>
    <w:rsid w:val="0070466C"/>
    <w:rsid w:val="0073065D"/>
    <w:rsid w:val="007359B8"/>
    <w:rsid w:val="00781EFA"/>
    <w:rsid w:val="007A6CB4"/>
    <w:rsid w:val="007C22D4"/>
    <w:rsid w:val="008170D5"/>
    <w:rsid w:val="00822538"/>
    <w:rsid w:val="00870206"/>
    <w:rsid w:val="00870B80"/>
    <w:rsid w:val="008C2BF2"/>
    <w:rsid w:val="008C7817"/>
    <w:rsid w:val="009461AC"/>
    <w:rsid w:val="00962277"/>
    <w:rsid w:val="00994209"/>
    <w:rsid w:val="009B3B7F"/>
    <w:rsid w:val="009D248D"/>
    <w:rsid w:val="009D42AE"/>
    <w:rsid w:val="009E1C54"/>
    <w:rsid w:val="009E32E2"/>
    <w:rsid w:val="009E7E86"/>
    <w:rsid w:val="00A376CC"/>
    <w:rsid w:val="00A51427"/>
    <w:rsid w:val="00A56ADC"/>
    <w:rsid w:val="00A8004C"/>
    <w:rsid w:val="00A865C7"/>
    <w:rsid w:val="00AE140A"/>
    <w:rsid w:val="00AE5E8E"/>
    <w:rsid w:val="00B0768A"/>
    <w:rsid w:val="00B3135F"/>
    <w:rsid w:val="00B36B8B"/>
    <w:rsid w:val="00B65738"/>
    <w:rsid w:val="00B974B1"/>
    <w:rsid w:val="00C17D88"/>
    <w:rsid w:val="00C44D4E"/>
    <w:rsid w:val="00C453C7"/>
    <w:rsid w:val="00C5380A"/>
    <w:rsid w:val="00CD5E96"/>
    <w:rsid w:val="00D36862"/>
    <w:rsid w:val="00D444C3"/>
    <w:rsid w:val="00D53845"/>
    <w:rsid w:val="00D6273E"/>
    <w:rsid w:val="00D66CE8"/>
    <w:rsid w:val="00D67645"/>
    <w:rsid w:val="00D82F03"/>
    <w:rsid w:val="00D85B3C"/>
    <w:rsid w:val="00DA05D5"/>
    <w:rsid w:val="00DA5594"/>
    <w:rsid w:val="00DD26E0"/>
    <w:rsid w:val="00E12AA3"/>
    <w:rsid w:val="00E40B5D"/>
    <w:rsid w:val="00E712F1"/>
    <w:rsid w:val="00EC6C94"/>
    <w:rsid w:val="00EE6790"/>
    <w:rsid w:val="00F23537"/>
    <w:rsid w:val="00F430D9"/>
    <w:rsid w:val="00F561EF"/>
    <w:rsid w:val="00F758D3"/>
    <w:rsid w:val="00F8299D"/>
    <w:rsid w:val="00F8435C"/>
    <w:rsid w:val="00FC68F5"/>
    <w:rsid w:val="00FD6C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F6C0"/>
  <w15:chartTrackingRefBased/>
  <w15:docId w15:val="{EA278760-E5DE-402C-9748-BB17A734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6C"/>
    <w:pPr>
      <w:spacing w:line="252" w:lineRule="auto"/>
      <w:jc w:val="both"/>
    </w:pPr>
    <w:rPr>
      <w:rFonts w:eastAsiaTheme="minorEastAsia"/>
    </w:rPr>
  </w:style>
  <w:style w:type="paragraph" w:styleId="Ttulo1">
    <w:name w:val="heading 1"/>
    <w:basedOn w:val="Normal"/>
    <w:link w:val="Ttulo1Car"/>
    <w:uiPriority w:val="9"/>
    <w:qFormat/>
    <w:rsid w:val="00144F44"/>
    <w:pPr>
      <w:widowControl w:val="0"/>
      <w:autoSpaceDE w:val="0"/>
      <w:autoSpaceDN w:val="0"/>
      <w:spacing w:after="0" w:line="240" w:lineRule="auto"/>
      <w:ind w:left="108"/>
      <w:outlineLvl w:val="0"/>
    </w:pPr>
    <w:rPr>
      <w:rFonts w:ascii="Calibri" w:eastAsia="Calibri" w:hAnsi="Calibri" w:cs="Calibri"/>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0466C"/>
    <w:pPr>
      <w:ind w:left="720"/>
      <w:contextualSpacing/>
    </w:pPr>
  </w:style>
  <w:style w:type="paragraph" w:styleId="NormalWeb">
    <w:name w:val="Normal (Web)"/>
    <w:basedOn w:val="Normal"/>
    <w:uiPriority w:val="99"/>
    <w:semiHidden/>
    <w:unhideWhenUsed/>
    <w:rsid w:val="004607C6"/>
    <w:pPr>
      <w:spacing w:before="100" w:beforeAutospacing="1" w:after="100" w:afterAutospacing="1" w:line="240" w:lineRule="auto"/>
      <w:jc w:val="left"/>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4607C6"/>
    <w:rPr>
      <w:color w:val="0000FF"/>
      <w:u w:val="single"/>
    </w:rPr>
  </w:style>
  <w:style w:type="table" w:styleId="Tablaconcuadrcula">
    <w:name w:val="Table Grid"/>
    <w:basedOn w:val="Tablanormal"/>
    <w:uiPriority w:val="39"/>
    <w:rsid w:val="007C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E440B"/>
    <w:rPr>
      <w:color w:val="605E5C"/>
      <w:shd w:val="clear" w:color="auto" w:fill="E1DFDD"/>
    </w:rPr>
  </w:style>
  <w:style w:type="paragraph" w:styleId="Textoindependiente">
    <w:name w:val="Body Text"/>
    <w:basedOn w:val="Normal"/>
    <w:link w:val="TextoindependienteCar"/>
    <w:uiPriority w:val="1"/>
    <w:rsid w:val="008170D5"/>
    <w:pPr>
      <w:spacing w:after="120" w:line="264" w:lineRule="auto"/>
      <w:jc w:val="left"/>
    </w:pPr>
    <w:rPr>
      <w:sz w:val="24"/>
      <w:szCs w:val="24"/>
      <w:lang w:val="en-US"/>
    </w:rPr>
  </w:style>
  <w:style w:type="character" w:customStyle="1" w:styleId="TextoindependienteCar">
    <w:name w:val="Texto independiente Car"/>
    <w:basedOn w:val="Fuentedeprrafopredeter"/>
    <w:link w:val="Textoindependiente"/>
    <w:uiPriority w:val="1"/>
    <w:rsid w:val="008170D5"/>
    <w:rPr>
      <w:rFonts w:eastAsiaTheme="minorEastAsia"/>
      <w:sz w:val="24"/>
      <w:szCs w:val="24"/>
      <w:lang w:val="en-US"/>
    </w:rPr>
  </w:style>
  <w:style w:type="character" w:customStyle="1" w:styleId="Ttulo1Car">
    <w:name w:val="Título 1 Car"/>
    <w:basedOn w:val="Fuentedeprrafopredeter"/>
    <w:link w:val="Ttulo1"/>
    <w:uiPriority w:val="9"/>
    <w:rsid w:val="00144F44"/>
    <w:rPr>
      <w:rFonts w:ascii="Calibri" w:eastAsia="Calibri" w:hAnsi="Calibri" w:cs="Calibri"/>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4350">
      <w:bodyDiv w:val="1"/>
      <w:marLeft w:val="0"/>
      <w:marRight w:val="0"/>
      <w:marTop w:val="0"/>
      <w:marBottom w:val="0"/>
      <w:divBdr>
        <w:top w:val="none" w:sz="0" w:space="0" w:color="auto"/>
        <w:left w:val="none" w:sz="0" w:space="0" w:color="auto"/>
        <w:bottom w:val="none" w:sz="0" w:space="0" w:color="auto"/>
        <w:right w:val="none" w:sz="0" w:space="0" w:color="auto"/>
      </w:divBdr>
      <w:divsChild>
        <w:div w:id="1998268947">
          <w:marLeft w:val="0"/>
          <w:marRight w:val="0"/>
          <w:marTop w:val="0"/>
          <w:marBottom w:val="0"/>
          <w:divBdr>
            <w:top w:val="none" w:sz="0" w:space="0" w:color="auto"/>
            <w:left w:val="none" w:sz="0" w:space="0" w:color="auto"/>
            <w:bottom w:val="none" w:sz="0" w:space="0" w:color="auto"/>
            <w:right w:val="none" w:sz="0" w:space="0" w:color="auto"/>
          </w:divBdr>
        </w:div>
        <w:div w:id="894395471">
          <w:marLeft w:val="0"/>
          <w:marRight w:val="0"/>
          <w:marTop w:val="0"/>
          <w:marBottom w:val="0"/>
          <w:divBdr>
            <w:top w:val="none" w:sz="0" w:space="0" w:color="auto"/>
            <w:left w:val="none" w:sz="0" w:space="0" w:color="auto"/>
            <w:bottom w:val="none" w:sz="0" w:space="0" w:color="auto"/>
            <w:right w:val="none" w:sz="0" w:space="0" w:color="auto"/>
          </w:divBdr>
        </w:div>
        <w:div w:id="1281110005">
          <w:marLeft w:val="0"/>
          <w:marRight w:val="0"/>
          <w:marTop w:val="0"/>
          <w:marBottom w:val="0"/>
          <w:divBdr>
            <w:top w:val="none" w:sz="0" w:space="0" w:color="auto"/>
            <w:left w:val="none" w:sz="0" w:space="0" w:color="auto"/>
            <w:bottom w:val="none" w:sz="0" w:space="0" w:color="auto"/>
            <w:right w:val="none" w:sz="0" w:space="0" w:color="auto"/>
          </w:divBdr>
        </w:div>
        <w:div w:id="200753340">
          <w:marLeft w:val="0"/>
          <w:marRight w:val="0"/>
          <w:marTop w:val="0"/>
          <w:marBottom w:val="0"/>
          <w:divBdr>
            <w:top w:val="none" w:sz="0" w:space="0" w:color="auto"/>
            <w:left w:val="none" w:sz="0" w:space="0" w:color="auto"/>
            <w:bottom w:val="none" w:sz="0" w:space="0" w:color="auto"/>
            <w:right w:val="none" w:sz="0" w:space="0" w:color="auto"/>
          </w:divBdr>
          <w:divsChild>
            <w:div w:id="1593971576">
              <w:marLeft w:val="0"/>
              <w:marRight w:val="0"/>
              <w:marTop w:val="0"/>
              <w:marBottom w:val="0"/>
              <w:divBdr>
                <w:top w:val="none" w:sz="0" w:space="0" w:color="auto"/>
                <w:left w:val="none" w:sz="0" w:space="0" w:color="auto"/>
                <w:bottom w:val="none" w:sz="0" w:space="0" w:color="auto"/>
                <w:right w:val="none" w:sz="0" w:space="0" w:color="auto"/>
              </w:divBdr>
            </w:div>
            <w:div w:id="39524365">
              <w:marLeft w:val="0"/>
              <w:marRight w:val="0"/>
              <w:marTop w:val="0"/>
              <w:marBottom w:val="0"/>
              <w:divBdr>
                <w:top w:val="none" w:sz="0" w:space="0" w:color="auto"/>
                <w:left w:val="none" w:sz="0" w:space="0" w:color="auto"/>
                <w:bottom w:val="none" w:sz="0" w:space="0" w:color="auto"/>
                <w:right w:val="none" w:sz="0" w:space="0" w:color="auto"/>
              </w:divBdr>
            </w:div>
            <w:div w:id="10903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0903">
      <w:bodyDiv w:val="1"/>
      <w:marLeft w:val="0"/>
      <w:marRight w:val="0"/>
      <w:marTop w:val="0"/>
      <w:marBottom w:val="0"/>
      <w:divBdr>
        <w:top w:val="none" w:sz="0" w:space="0" w:color="auto"/>
        <w:left w:val="none" w:sz="0" w:space="0" w:color="auto"/>
        <w:bottom w:val="none" w:sz="0" w:space="0" w:color="auto"/>
        <w:right w:val="none" w:sz="0" w:space="0" w:color="auto"/>
      </w:divBdr>
    </w:div>
    <w:div w:id="1352877926">
      <w:bodyDiv w:val="1"/>
      <w:marLeft w:val="0"/>
      <w:marRight w:val="0"/>
      <w:marTop w:val="0"/>
      <w:marBottom w:val="0"/>
      <w:divBdr>
        <w:top w:val="none" w:sz="0" w:space="0" w:color="auto"/>
        <w:left w:val="none" w:sz="0" w:space="0" w:color="auto"/>
        <w:bottom w:val="none" w:sz="0" w:space="0" w:color="auto"/>
        <w:right w:val="none" w:sz="0" w:space="0" w:color="auto"/>
      </w:divBdr>
    </w:div>
    <w:div w:id="1826966861">
      <w:bodyDiv w:val="1"/>
      <w:marLeft w:val="0"/>
      <w:marRight w:val="0"/>
      <w:marTop w:val="0"/>
      <w:marBottom w:val="0"/>
      <w:divBdr>
        <w:top w:val="none" w:sz="0" w:space="0" w:color="auto"/>
        <w:left w:val="none" w:sz="0" w:space="0" w:color="auto"/>
        <w:bottom w:val="none" w:sz="0" w:space="0" w:color="auto"/>
        <w:right w:val="none" w:sz="0" w:space="0" w:color="auto"/>
      </w:divBdr>
      <w:divsChild>
        <w:div w:id="364721323">
          <w:marLeft w:val="0"/>
          <w:marRight w:val="0"/>
          <w:marTop w:val="0"/>
          <w:marBottom w:val="0"/>
          <w:divBdr>
            <w:top w:val="none" w:sz="0" w:space="0" w:color="auto"/>
            <w:left w:val="none" w:sz="0" w:space="0" w:color="auto"/>
            <w:bottom w:val="none" w:sz="0" w:space="0" w:color="auto"/>
            <w:right w:val="none" w:sz="0" w:space="0" w:color="auto"/>
          </w:divBdr>
          <w:divsChild>
            <w:div w:id="207182201">
              <w:marLeft w:val="0"/>
              <w:marRight w:val="0"/>
              <w:marTop w:val="0"/>
              <w:marBottom w:val="0"/>
              <w:divBdr>
                <w:top w:val="none" w:sz="0" w:space="0" w:color="auto"/>
                <w:left w:val="none" w:sz="0" w:space="0" w:color="auto"/>
                <w:bottom w:val="none" w:sz="0" w:space="0" w:color="auto"/>
                <w:right w:val="none" w:sz="0" w:space="0" w:color="auto"/>
              </w:divBdr>
              <w:divsChild>
                <w:div w:id="16628558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67757664">
          <w:marLeft w:val="0"/>
          <w:marRight w:val="0"/>
          <w:marTop w:val="0"/>
          <w:marBottom w:val="0"/>
          <w:divBdr>
            <w:top w:val="none" w:sz="0" w:space="0" w:color="auto"/>
            <w:left w:val="none" w:sz="0" w:space="0" w:color="auto"/>
            <w:bottom w:val="none" w:sz="0" w:space="0" w:color="auto"/>
            <w:right w:val="none" w:sz="0" w:space="0" w:color="auto"/>
          </w:divBdr>
          <w:divsChild>
            <w:div w:id="1694837714">
              <w:marLeft w:val="0"/>
              <w:marRight w:val="0"/>
              <w:marTop w:val="0"/>
              <w:marBottom w:val="0"/>
              <w:divBdr>
                <w:top w:val="none" w:sz="0" w:space="0" w:color="auto"/>
                <w:left w:val="none" w:sz="0" w:space="0" w:color="auto"/>
                <w:bottom w:val="none" w:sz="0" w:space="0" w:color="auto"/>
                <w:right w:val="none" w:sz="0" w:space="0" w:color="auto"/>
              </w:divBdr>
              <w:divsChild>
                <w:div w:id="1541093479">
                  <w:marLeft w:val="0"/>
                  <w:marRight w:val="0"/>
                  <w:marTop w:val="0"/>
                  <w:marBottom w:val="0"/>
                  <w:divBdr>
                    <w:top w:val="none" w:sz="0" w:space="0" w:color="auto"/>
                    <w:left w:val="none" w:sz="0" w:space="0" w:color="auto"/>
                    <w:bottom w:val="none" w:sz="0" w:space="0" w:color="auto"/>
                    <w:right w:val="none" w:sz="0" w:space="0" w:color="auto"/>
                  </w:divBdr>
                  <w:divsChild>
                    <w:div w:id="90592761">
                      <w:marLeft w:val="0"/>
                      <w:marRight w:val="0"/>
                      <w:marTop w:val="0"/>
                      <w:marBottom w:val="0"/>
                      <w:divBdr>
                        <w:top w:val="none" w:sz="0" w:space="0" w:color="auto"/>
                        <w:left w:val="none" w:sz="0" w:space="0" w:color="auto"/>
                        <w:bottom w:val="none" w:sz="0" w:space="0" w:color="auto"/>
                        <w:right w:val="none" w:sz="0" w:space="0" w:color="auto"/>
                      </w:divBdr>
                      <w:divsChild>
                        <w:div w:id="1167133333">
                          <w:marLeft w:val="0"/>
                          <w:marRight w:val="0"/>
                          <w:marTop w:val="0"/>
                          <w:marBottom w:val="0"/>
                          <w:divBdr>
                            <w:top w:val="none" w:sz="0" w:space="0" w:color="auto"/>
                            <w:left w:val="none" w:sz="0" w:space="0" w:color="auto"/>
                            <w:bottom w:val="none" w:sz="0" w:space="0" w:color="auto"/>
                            <w:right w:val="none" w:sz="0" w:space="0" w:color="auto"/>
                          </w:divBdr>
                          <w:divsChild>
                            <w:div w:id="1218007558">
                              <w:marLeft w:val="300"/>
                              <w:marRight w:val="0"/>
                              <w:marTop w:val="0"/>
                              <w:marBottom w:val="0"/>
                              <w:divBdr>
                                <w:top w:val="none" w:sz="0" w:space="0" w:color="auto"/>
                                <w:left w:val="none" w:sz="0" w:space="0" w:color="auto"/>
                                <w:bottom w:val="none" w:sz="0" w:space="0" w:color="auto"/>
                                <w:right w:val="none" w:sz="0" w:space="0" w:color="auto"/>
                              </w:divBdr>
                              <w:divsChild>
                                <w:div w:id="1484734811">
                                  <w:marLeft w:val="0"/>
                                  <w:marRight w:val="0"/>
                                  <w:marTop w:val="0"/>
                                  <w:marBottom w:val="0"/>
                                  <w:divBdr>
                                    <w:top w:val="none" w:sz="0" w:space="0" w:color="auto"/>
                                    <w:left w:val="none" w:sz="0" w:space="0" w:color="auto"/>
                                    <w:bottom w:val="none" w:sz="0" w:space="0" w:color="auto"/>
                                    <w:right w:val="none" w:sz="0" w:space="0" w:color="auto"/>
                                  </w:divBdr>
                                  <w:divsChild>
                                    <w:div w:id="1406800873">
                                      <w:marLeft w:val="0"/>
                                      <w:marRight w:val="0"/>
                                      <w:marTop w:val="0"/>
                                      <w:marBottom w:val="0"/>
                                      <w:divBdr>
                                        <w:top w:val="none" w:sz="0" w:space="0" w:color="auto"/>
                                        <w:left w:val="none" w:sz="0" w:space="0" w:color="auto"/>
                                        <w:bottom w:val="none" w:sz="0" w:space="0" w:color="auto"/>
                                        <w:right w:val="none" w:sz="0" w:space="0" w:color="auto"/>
                                      </w:divBdr>
                                      <w:divsChild>
                                        <w:div w:id="1014964916">
                                          <w:marLeft w:val="0"/>
                                          <w:marRight w:val="0"/>
                                          <w:marTop w:val="0"/>
                                          <w:marBottom w:val="0"/>
                                          <w:divBdr>
                                            <w:top w:val="none" w:sz="0" w:space="0" w:color="auto"/>
                                            <w:left w:val="none" w:sz="0" w:space="0" w:color="auto"/>
                                            <w:bottom w:val="none" w:sz="0" w:space="0" w:color="auto"/>
                                            <w:right w:val="none" w:sz="0" w:space="0" w:color="auto"/>
                                          </w:divBdr>
                                          <w:divsChild>
                                            <w:div w:id="1427313053">
                                              <w:marLeft w:val="0"/>
                                              <w:marRight w:val="0"/>
                                              <w:marTop w:val="0"/>
                                              <w:marBottom w:val="0"/>
                                              <w:divBdr>
                                                <w:top w:val="none" w:sz="0" w:space="0" w:color="auto"/>
                                                <w:left w:val="none" w:sz="0" w:space="0" w:color="auto"/>
                                                <w:bottom w:val="none" w:sz="0" w:space="0" w:color="auto"/>
                                                <w:right w:val="none" w:sz="0" w:space="0" w:color="auto"/>
                                              </w:divBdr>
                                              <w:divsChild>
                                                <w:div w:id="240529917">
                                                  <w:marLeft w:val="0"/>
                                                  <w:marRight w:val="0"/>
                                                  <w:marTop w:val="0"/>
                                                  <w:marBottom w:val="0"/>
                                                  <w:divBdr>
                                                    <w:top w:val="none" w:sz="0" w:space="0" w:color="auto"/>
                                                    <w:left w:val="none" w:sz="0" w:space="0" w:color="auto"/>
                                                    <w:bottom w:val="none" w:sz="0" w:space="0" w:color="auto"/>
                                                    <w:right w:val="none" w:sz="0" w:space="0" w:color="auto"/>
                                                  </w:divBdr>
                                                  <w:divsChild>
                                                    <w:div w:id="1810785878">
                                                      <w:marLeft w:val="0"/>
                                                      <w:marRight w:val="0"/>
                                                      <w:marTop w:val="0"/>
                                                      <w:marBottom w:val="0"/>
                                                      <w:divBdr>
                                                        <w:top w:val="none" w:sz="0" w:space="0" w:color="auto"/>
                                                        <w:left w:val="none" w:sz="0" w:space="0" w:color="auto"/>
                                                        <w:bottom w:val="none" w:sz="0" w:space="0" w:color="auto"/>
                                                        <w:right w:val="none" w:sz="0" w:space="0" w:color="auto"/>
                                                      </w:divBdr>
                                                      <w:divsChild>
                                                        <w:div w:id="1579509963">
                                                          <w:marLeft w:val="0"/>
                                                          <w:marRight w:val="0"/>
                                                          <w:marTop w:val="0"/>
                                                          <w:marBottom w:val="0"/>
                                                          <w:divBdr>
                                                            <w:top w:val="none" w:sz="0" w:space="0" w:color="auto"/>
                                                            <w:left w:val="none" w:sz="0" w:space="0" w:color="auto"/>
                                                            <w:bottom w:val="none" w:sz="0" w:space="0" w:color="auto"/>
                                                            <w:right w:val="none" w:sz="0" w:space="0" w:color="auto"/>
                                                          </w:divBdr>
                                                          <w:divsChild>
                                                            <w:div w:id="893008936">
                                                              <w:marLeft w:val="0"/>
                                                              <w:marRight w:val="0"/>
                                                              <w:marTop w:val="0"/>
                                                              <w:marBottom w:val="0"/>
                                                              <w:divBdr>
                                                                <w:top w:val="none" w:sz="0" w:space="0" w:color="auto"/>
                                                                <w:left w:val="none" w:sz="0" w:space="0" w:color="auto"/>
                                                                <w:bottom w:val="none" w:sz="0" w:space="0" w:color="auto"/>
                                                                <w:right w:val="none" w:sz="0" w:space="0" w:color="auto"/>
                                                              </w:divBdr>
                                                              <w:divsChild>
                                                                <w:div w:id="211969062">
                                                                  <w:marLeft w:val="0"/>
                                                                  <w:marRight w:val="0"/>
                                                                  <w:marTop w:val="0"/>
                                                                  <w:marBottom w:val="0"/>
                                                                  <w:divBdr>
                                                                    <w:top w:val="none" w:sz="0" w:space="0" w:color="auto"/>
                                                                    <w:left w:val="none" w:sz="0" w:space="0" w:color="auto"/>
                                                                    <w:bottom w:val="none" w:sz="0" w:space="0" w:color="auto"/>
                                                                    <w:right w:val="none" w:sz="0" w:space="0" w:color="auto"/>
                                                                  </w:divBdr>
                                                                  <w:divsChild>
                                                                    <w:div w:id="332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043757">
                      <w:marLeft w:val="0"/>
                      <w:marRight w:val="0"/>
                      <w:marTop w:val="0"/>
                      <w:marBottom w:val="0"/>
                      <w:divBdr>
                        <w:top w:val="none" w:sz="0" w:space="0" w:color="auto"/>
                        <w:left w:val="none" w:sz="0" w:space="0" w:color="auto"/>
                        <w:bottom w:val="none" w:sz="0" w:space="0" w:color="auto"/>
                        <w:right w:val="none" w:sz="0" w:space="0" w:color="auto"/>
                      </w:divBdr>
                      <w:divsChild>
                        <w:div w:id="1209030358">
                          <w:marLeft w:val="0"/>
                          <w:marRight w:val="0"/>
                          <w:marTop w:val="0"/>
                          <w:marBottom w:val="0"/>
                          <w:divBdr>
                            <w:top w:val="none" w:sz="0" w:space="0" w:color="auto"/>
                            <w:left w:val="none" w:sz="0" w:space="0" w:color="auto"/>
                            <w:bottom w:val="none" w:sz="0" w:space="0" w:color="auto"/>
                            <w:right w:val="none" w:sz="0" w:space="0" w:color="auto"/>
                          </w:divBdr>
                          <w:divsChild>
                            <w:div w:id="15962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I. Municipalidad de Viña del Mar</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DEL CARMEN VARGAS CHACON</dc:creator>
  <cp:keywords/>
  <dc:description/>
  <cp:lastModifiedBy>Lenovo</cp:lastModifiedBy>
  <cp:revision>5</cp:revision>
  <cp:lastPrinted>2023-03-28T16:50:00Z</cp:lastPrinted>
  <dcterms:created xsi:type="dcterms:W3CDTF">2023-04-18T18:38:00Z</dcterms:created>
  <dcterms:modified xsi:type="dcterms:W3CDTF">2023-04-18T20:09:00Z</dcterms:modified>
</cp:coreProperties>
</file>